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E87A" w14:textId="77777777" w:rsidR="00D30B5E" w:rsidRDefault="00000000" w:rsidP="00372D72">
      <w:pPr>
        <w:spacing w:after="80"/>
      </w:pPr>
      <w:r>
        <w:rPr>
          <w:b/>
          <w:bCs/>
          <w:sz w:val="36"/>
          <w:szCs w:val="36"/>
        </w:rPr>
        <w:t>Project 1: Survival of Lung Cancer Patients</w:t>
      </w:r>
    </w:p>
    <w:p w14:paraId="1114FF3D" w14:textId="714D7A4D"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t>Question 1:</w:t>
      </w:r>
      <w:r w:rsidR="00372D72" w:rsidRPr="00372D72">
        <w:rPr>
          <w:color w:val="000000" w:themeColor="text1"/>
          <w:sz w:val="22"/>
          <w:szCs w:val="22"/>
        </w:rPr>
        <w:t xml:space="preserve"> </w:t>
      </w:r>
      <w:r w:rsidR="00372D72" w:rsidRPr="00372D72">
        <w:rPr>
          <w:b w:val="0"/>
          <w:bCs w:val="0"/>
          <w:color w:val="000000" w:themeColor="text1"/>
          <w:sz w:val="22"/>
          <w:szCs w:val="22"/>
        </w:rPr>
        <w:br/>
        <w:t>Write out BUGS code for a Bayesian Weibull regression model, which includes treatment, Karnovsky performance score and tumor cell type as covariates. Assume uninformative priors for all the parameters. Explain your code, indicating what is your likelihood, what priors you have chosen, and explain all the parameters.</w:t>
      </w:r>
    </w:p>
    <w:p w14:paraId="6D907EC1" w14:textId="77777777" w:rsidR="00D30B5E" w:rsidRPr="00372D72" w:rsidRDefault="00000000">
      <w:pPr>
        <w:pStyle w:val="Heading2"/>
        <w:rPr>
          <w:color w:val="000000" w:themeColor="text1"/>
          <w:sz w:val="22"/>
          <w:szCs w:val="22"/>
        </w:rPr>
      </w:pPr>
      <w:r w:rsidRPr="00372D72">
        <w:rPr>
          <w:color w:val="000000" w:themeColor="text1"/>
          <w:sz w:val="22"/>
          <w:szCs w:val="22"/>
        </w:rPr>
        <w:t>Statistical Setup</w:t>
      </w:r>
    </w:p>
    <w:p w14:paraId="5B5BA9C6" w14:textId="77777777" w:rsidR="00D30B5E" w:rsidRDefault="00000000">
      <w:pPr>
        <w:spacing w:after="140"/>
      </w:pPr>
      <w:r>
        <w:t xml:space="preserve">We analyse the survival times of the 128 patients in the </w:t>
      </w:r>
      <w:r>
        <w:rPr>
          <w:rFonts w:ascii="Courier New" w:eastAsia="Courier New" w:hAnsi="Courier New" w:cs="Courier New"/>
          <w:sz w:val="18"/>
          <w:szCs w:val="18"/>
        </w:rPr>
        <w:t>veteran</w:t>
      </w:r>
      <w:r>
        <w:t xml:space="preserve"> dataset for whom the event (death) was observed (</w:t>
      </w:r>
      <w:r>
        <w:rPr>
          <w:rFonts w:ascii="Courier New" w:eastAsia="Courier New" w:hAnsi="Courier New" w:cs="Courier New"/>
          <w:sz w:val="18"/>
          <w:szCs w:val="18"/>
        </w:rPr>
        <w:t>status = 1</w:t>
      </w:r>
      <w:r>
        <w:t>). The primary aim is to model how survival depends on treatment (</w:t>
      </w:r>
      <w:r>
        <w:rPr>
          <w:rFonts w:ascii="Courier New" w:eastAsia="Courier New" w:hAnsi="Courier New" w:cs="Courier New"/>
          <w:sz w:val="18"/>
          <w:szCs w:val="18"/>
        </w:rPr>
        <w:t>trt</w:t>
      </w:r>
      <w:r>
        <w:t>), Karnofsky performance score (</w:t>
      </w:r>
      <w:r>
        <w:rPr>
          <w:rFonts w:ascii="Courier New" w:eastAsia="Courier New" w:hAnsi="Courier New" w:cs="Courier New"/>
          <w:sz w:val="18"/>
          <w:szCs w:val="18"/>
        </w:rPr>
        <w:t>karno</w:t>
      </w:r>
      <w:r>
        <w:t>), and tumour cell type (</w:t>
      </w:r>
      <w:r>
        <w:rPr>
          <w:rFonts w:ascii="Courier New" w:eastAsia="Courier New" w:hAnsi="Courier New" w:cs="Courier New"/>
          <w:sz w:val="18"/>
          <w:szCs w:val="18"/>
        </w:rPr>
        <w:t>celltype</w:t>
      </w:r>
      <w:r>
        <w:t>).</w:t>
      </w:r>
    </w:p>
    <w:p w14:paraId="668CEDEA" w14:textId="77777777" w:rsidR="00D30B5E" w:rsidRPr="00372D72" w:rsidRDefault="00000000">
      <w:pPr>
        <w:pStyle w:val="Heading2"/>
        <w:rPr>
          <w:color w:val="000000" w:themeColor="text1"/>
          <w:sz w:val="22"/>
          <w:szCs w:val="22"/>
        </w:rPr>
      </w:pPr>
      <w:r w:rsidRPr="00372D72">
        <w:rPr>
          <w:color w:val="000000" w:themeColor="text1"/>
          <w:sz w:val="22"/>
          <w:szCs w:val="22"/>
        </w:rPr>
        <w:t>Likelihood</w:t>
      </w:r>
    </w:p>
    <w:p w14:paraId="479013CE" w14:textId="77777777" w:rsidR="00D30B5E" w:rsidRDefault="00000000">
      <w:pPr>
        <w:spacing w:after="140"/>
      </w:pPr>
      <w:r>
        <w:t xml:space="preserve">Each survival time </w:t>
      </w:r>
      <w:r>
        <w:rPr>
          <w:i/>
          <w:iCs/>
        </w:rPr>
        <w:t>T</w:t>
      </w:r>
      <w:r>
        <w:t>ᵢ is assumed to follow a Weibull distribution:</w:t>
      </w:r>
    </w:p>
    <w:p w14:paraId="7D54B1F4" w14:textId="77777777" w:rsidR="00D30B5E" w:rsidRDefault="00000000">
      <w:pPr>
        <w:spacing w:after="140"/>
      </w:pPr>
      <w:r>
        <w:rPr>
          <w:i/>
          <w:iCs/>
        </w:rPr>
        <w:t>Tᵢ ~ Weibull(k, λᵢ),   i = 1, …, 128</w:t>
      </w:r>
    </w:p>
    <w:p w14:paraId="353BE1F7" w14:textId="77777777" w:rsidR="00D30B5E" w:rsidRDefault="00000000">
      <w:pPr>
        <w:spacing w:after="140"/>
      </w:pPr>
      <w:r>
        <w:t xml:space="preserve">where </w:t>
      </w:r>
      <w:r w:rsidRPr="00372D72">
        <w:t>k</w:t>
      </w:r>
      <w:r>
        <w:t xml:space="preserve"> is the shape parameter (shared across all patients) and </w:t>
      </w:r>
      <w:r w:rsidRPr="00372D72">
        <w:t>λᵢ</w:t>
      </w:r>
      <w:r>
        <w:t xml:space="preserve"> is a patient-specific scale-related parameter. In JAGS this is written as </w:t>
      </w:r>
      <w:r>
        <w:rPr>
          <w:rFonts w:ascii="Courier New" w:eastAsia="Courier New" w:hAnsi="Courier New" w:cs="Courier New"/>
          <w:sz w:val="18"/>
          <w:szCs w:val="18"/>
        </w:rPr>
        <w:t>time[i] ~ dweib(k, lambda[i])</w:t>
      </w:r>
      <w:r>
        <w:t>.</w:t>
      </w:r>
    </w:p>
    <w:p w14:paraId="55589207" w14:textId="77777777" w:rsidR="00D30B5E" w:rsidRDefault="00000000">
      <w:pPr>
        <w:spacing w:after="140"/>
      </w:pPr>
      <w:r>
        <w:t xml:space="preserve">The shape parameter </w:t>
      </w:r>
      <w:r>
        <w:rPr>
          <w:i/>
          <w:iCs/>
        </w:rPr>
        <w:t>k</w:t>
      </w:r>
      <w:r>
        <w:t xml:space="preserve"> governs how the hazard evolves over time: </w:t>
      </w:r>
      <w:r>
        <w:rPr>
          <w:i/>
          <w:iCs/>
        </w:rPr>
        <w:t>k</w:t>
      </w:r>
      <w:r>
        <w:t xml:space="preserve"> &gt; 1 indicates an increasing hazard (patients at higher risk as time passes), </w:t>
      </w:r>
      <w:r>
        <w:rPr>
          <w:i/>
          <w:iCs/>
        </w:rPr>
        <w:t>k</w:t>
      </w:r>
      <w:r>
        <w:t xml:space="preserve"> &lt; 1 indicates a decreasing hazard, and </w:t>
      </w:r>
      <w:r>
        <w:rPr>
          <w:i/>
          <w:iCs/>
        </w:rPr>
        <w:t>k</w:t>
      </w:r>
      <w:r>
        <w:t xml:space="preserve"> = 1 reduces the model to an exponential distribution with a constant hazard.</w:t>
      </w:r>
    </w:p>
    <w:p w14:paraId="41E6F374" w14:textId="77777777" w:rsidR="00D30B5E" w:rsidRDefault="00000000">
      <w:pPr>
        <w:spacing w:after="140"/>
      </w:pPr>
      <w:r>
        <w:t>The scale parameter is linked to the covariates through a log link:</w:t>
      </w:r>
    </w:p>
    <w:p w14:paraId="54168BF8" w14:textId="77777777" w:rsidR="00D30B5E" w:rsidRDefault="00000000">
      <w:pPr>
        <w:spacing w:after="140"/>
      </w:pPr>
      <w:r>
        <w:rPr>
          <w:i/>
          <w:iCs/>
        </w:rPr>
        <w:t>log(λᵢ) = −ηᵢ</w:t>
      </w:r>
    </w:p>
    <w:p w14:paraId="00049957" w14:textId="77777777" w:rsidR="00D30B5E" w:rsidRDefault="00000000">
      <w:pPr>
        <w:spacing w:after="140"/>
      </w:pPr>
      <w:r>
        <w:rPr>
          <w:i/>
          <w:iCs/>
        </w:rPr>
        <w:t>ηᵢ = β0 + βtrt · trtᵢ + βkarno · karnoᵢ + βsc · smallcellᵢ + βad · adenoᵢ + βlg · largeᵢ</w:t>
      </w:r>
    </w:p>
    <w:p w14:paraId="4B7B55D4" w14:textId="77777777" w:rsidR="00D30B5E" w:rsidRDefault="00000000">
      <w:pPr>
        <w:spacing w:after="140"/>
      </w:pPr>
      <w:r>
        <w:t>The minus sign in log(λᵢ) = −ηᵢ means that a larger η leads to a smaller λ, which corresponds to longer survival. The resulting survival function is:</w:t>
      </w:r>
    </w:p>
    <w:p w14:paraId="55987AD6" w14:textId="77777777" w:rsidR="00D30B5E" w:rsidRDefault="00000000">
      <w:pPr>
        <w:spacing w:after="140"/>
      </w:pPr>
      <w:r>
        <w:rPr>
          <w:i/>
          <w:iCs/>
        </w:rPr>
        <w:t>S(t) = exp(−λᵢ tᵏ)</w:t>
      </w:r>
    </w:p>
    <w:p w14:paraId="55AD3CC2" w14:textId="77777777" w:rsidR="00D30B5E" w:rsidRDefault="00000000">
      <w:pPr>
        <w:spacing w:after="140"/>
      </w:pPr>
      <w:r>
        <w:t xml:space="preserve">and the median survival time for patient </w:t>
      </w:r>
      <w:r>
        <w:rPr>
          <w:i/>
          <w:iCs/>
        </w:rPr>
        <w:t>i</w:t>
      </w:r>
      <w:r>
        <w:t xml:space="preserve"> is (ln 2 / λᵢ)^(1/k).</w:t>
      </w:r>
    </w:p>
    <w:p w14:paraId="7200B038" w14:textId="77777777" w:rsidR="00D30B5E" w:rsidRPr="00372D72" w:rsidRDefault="00000000">
      <w:pPr>
        <w:pStyle w:val="Heading2"/>
        <w:rPr>
          <w:color w:val="000000" w:themeColor="text1"/>
          <w:sz w:val="22"/>
          <w:szCs w:val="22"/>
        </w:rPr>
      </w:pPr>
      <w:r w:rsidRPr="00372D72">
        <w:rPr>
          <w:color w:val="000000" w:themeColor="text1"/>
          <w:sz w:val="22"/>
          <w:szCs w:val="22"/>
        </w:rPr>
        <w:t>Covariates and Parameters</w:t>
      </w:r>
    </w:p>
    <w:p w14:paraId="1F755B11" w14:textId="5217930B" w:rsidR="00D30B5E" w:rsidRDefault="00000000">
      <w:pPr>
        <w:spacing w:after="140"/>
      </w:pPr>
      <w:r>
        <w:rPr>
          <w:b/>
          <w:bCs/>
        </w:rPr>
        <w:t>β0</w:t>
      </w:r>
      <w:r w:rsidR="00372D72">
        <w:t>: i</w:t>
      </w:r>
      <w:r>
        <w:t xml:space="preserve">ntercept. After mean-centring of </w:t>
      </w:r>
      <w:r>
        <w:rPr>
          <w:i/>
          <w:iCs/>
        </w:rPr>
        <w:t>karno</w:t>
      </w:r>
      <w:r>
        <w:t>, this represents the log-scale baseline for a patient with standard treatment, squamous cell type, and average Karnofsky score.</w:t>
      </w:r>
    </w:p>
    <w:p w14:paraId="74336547" w14:textId="1DC7C343" w:rsidR="00D30B5E" w:rsidRDefault="00000000">
      <w:pPr>
        <w:spacing w:after="140"/>
      </w:pPr>
      <w:r>
        <w:rPr>
          <w:b/>
          <w:bCs/>
        </w:rPr>
        <w:t>βtrt</w:t>
      </w:r>
      <w:r w:rsidR="00372D72">
        <w:t>: e</w:t>
      </w:r>
      <w:r>
        <w:t>ffect of test chemotherapy vs. standard (coded 0/1).</w:t>
      </w:r>
    </w:p>
    <w:p w14:paraId="72C14748" w14:textId="30F7B1CD" w:rsidR="00D30B5E" w:rsidRDefault="00000000">
      <w:pPr>
        <w:spacing w:after="140"/>
      </w:pPr>
      <w:r>
        <w:rPr>
          <w:b/>
          <w:bCs/>
        </w:rPr>
        <w:t>βkarno</w:t>
      </w:r>
      <w:r w:rsidR="00372D72">
        <w:t>: e</w:t>
      </w:r>
      <w:r>
        <w:t>ffect of a one-unit increase in Karnofsky performance score. Karno was mean-centred before fitting (centred value = karno − mean(karno)) to reduce correlation with the intercept and improve MCMC mixing.</w:t>
      </w:r>
    </w:p>
    <w:p w14:paraId="7BD883F9" w14:textId="18F465B7" w:rsidR="00D30B5E" w:rsidRDefault="00000000">
      <w:pPr>
        <w:spacing w:after="140"/>
      </w:pPr>
      <w:r>
        <w:rPr>
          <w:b/>
          <w:bCs/>
        </w:rPr>
        <w:t>βsc, βad, βlg</w:t>
      </w:r>
      <w:r w:rsidR="00372D72">
        <w:t>:</w:t>
      </w:r>
      <w:r>
        <w:t xml:space="preserve"> </w:t>
      </w:r>
      <w:r w:rsidR="00372D72">
        <w:t>e</w:t>
      </w:r>
      <w:r>
        <w:t>ffects of small-cell, adenocarcinoma, and large-cell tumour types, each relative to the reference category squamous.</w:t>
      </w:r>
    </w:p>
    <w:p w14:paraId="3C4BDA2C" w14:textId="3365DDD4" w:rsidR="00D30B5E" w:rsidRDefault="00000000">
      <w:pPr>
        <w:spacing w:after="140"/>
      </w:pPr>
      <w:r>
        <w:rPr>
          <w:b/>
          <w:bCs/>
        </w:rPr>
        <w:t>k</w:t>
      </w:r>
      <w:r w:rsidR="00372D72">
        <w:t>:</w:t>
      </w:r>
      <w:r>
        <w:t xml:space="preserve"> Weibull shape parameter, constrained to be positive.</w:t>
      </w:r>
    </w:p>
    <w:p w14:paraId="44FDA76C" w14:textId="77777777" w:rsidR="00D30B5E" w:rsidRPr="00372D72" w:rsidRDefault="00000000">
      <w:pPr>
        <w:pStyle w:val="Heading2"/>
        <w:rPr>
          <w:color w:val="000000" w:themeColor="text1"/>
          <w:sz w:val="22"/>
          <w:szCs w:val="22"/>
        </w:rPr>
      </w:pPr>
      <w:r w:rsidRPr="00372D72">
        <w:rPr>
          <w:color w:val="000000" w:themeColor="text1"/>
          <w:sz w:val="22"/>
          <w:szCs w:val="22"/>
        </w:rPr>
        <w:t>Prior Distributions</w:t>
      </w:r>
    </w:p>
    <w:p w14:paraId="520CA11E" w14:textId="77777777" w:rsidR="00D30B5E" w:rsidRDefault="00000000">
      <w:pPr>
        <w:spacing w:after="140"/>
      </w:pPr>
      <w:r>
        <w:t>All priors are chosen to be vague (uninformative), placing minimal constraints on the posterior.</w:t>
      </w:r>
    </w:p>
    <w:p w14:paraId="498DCF4B" w14:textId="77777777" w:rsidR="00D30B5E" w:rsidRDefault="00000000">
      <w:pPr>
        <w:spacing w:after="140"/>
      </w:pPr>
      <w:r>
        <w:rPr>
          <w:b/>
          <w:bCs/>
        </w:rPr>
        <w:lastRenderedPageBreak/>
        <w:t>Regression coefficients</w:t>
      </w:r>
      <w:r>
        <w:t xml:space="preserve">: each β ∼ N(0, 10⁴). In JAGS notation this is </w:t>
      </w:r>
      <w:r>
        <w:rPr>
          <w:rFonts w:ascii="Courier New" w:eastAsia="Courier New" w:hAnsi="Courier New" w:cs="Courier New"/>
          <w:sz w:val="18"/>
          <w:szCs w:val="18"/>
        </w:rPr>
        <w:t>dnorm(0, 0.0001)</w:t>
      </w:r>
      <w:r>
        <w:t xml:space="preserve"> because JAGS parameterises the normal distribution by precision (= 1/variance). A precision of 10⁻⁴ gives a standard deviation of 100, which is essentially flat over any plausible range of covariate effects.</w:t>
      </w:r>
    </w:p>
    <w:p w14:paraId="60565074" w14:textId="77777777" w:rsidR="00D30B5E" w:rsidRDefault="00000000">
      <w:pPr>
        <w:spacing w:after="140"/>
      </w:pPr>
      <w:r>
        <w:rPr>
          <w:b/>
          <w:bCs/>
        </w:rPr>
        <w:t>Shape parameter</w:t>
      </w:r>
      <w:r>
        <w:t>: k ∼ Gamma(0.01, 0.01), a standard vague prior for a positive quantity. It has mean 1 and a very large variance, so it is dominated by the likelihood.</w:t>
      </w:r>
    </w:p>
    <w:p w14:paraId="6A5954AB" w14:textId="77777777" w:rsidR="00D30B5E" w:rsidRPr="00372D72" w:rsidRDefault="00000000">
      <w:pPr>
        <w:pStyle w:val="Heading2"/>
        <w:rPr>
          <w:color w:val="000000" w:themeColor="text1"/>
        </w:rPr>
      </w:pPr>
      <w:r w:rsidRPr="00372D72">
        <w:rPr>
          <w:color w:val="000000" w:themeColor="text1"/>
        </w:rPr>
        <w:t>BUGS Code</w:t>
      </w:r>
    </w:p>
    <w:p w14:paraId="00121EDC" w14:textId="77777777" w:rsidR="00D30B5E" w:rsidRDefault="00000000">
      <w:pPr>
        <w:spacing w:after="140"/>
      </w:pPr>
      <w:r>
        <w:t>The complete JAGS model specification is:</w:t>
      </w:r>
    </w:p>
    <w:p w14:paraId="52367F44" w14:textId="77777777" w:rsidR="00D30B5E" w:rsidRDefault="00000000">
      <w:pPr>
        <w:ind w:left="360"/>
      </w:pPr>
      <w:r>
        <w:rPr>
          <w:rFonts w:ascii="Courier New" w:eastAsia="Courier New" w:hAnsi="Courier New" w:cs="Courier New"/>
          <w:sz w:val="18"/>
          <w:szCs w:val="18"/>
        </w:rPr>
        <w:t>model {</w:t>
      </w:r>
    </w:p>
    <w:p w14:paraId="0FBD2707" w14:textId="77777777" w:rsidR="00D30B5E" w:rsidRDefault="00000000">
      <w:pPr>
        <w:ind w:left="360"/>
      </w:pPr>
      <w:r>
        <w:rPr>
          <w:rFonts w:ascii="Courier New" w:eastAsia="Courier New" w:hAnsi="Courier New" w:cs="Courier New"/>
          <w:sz w:val="18"/>
          <w:szCs w:val="18"/>
        </w:rPr>
        <w:t xml:space="preserve">  for (i in 1:N) {</w:t>
      </w:r>
    </w:p>
    <w:p w14:paraId="668EF80E" w14:textId="77777777" w:rsidR="00D30B5E" w:rsidRDefault="00000000">
      <w:pPr>
        <w:ind w:left="360"/>
      </w:pPr>
      <w:r>
        <w:rPr>
          <w:rFonts w:ascii="Courier New" w:eastAsia="Courier New" w:hAnsi="Courier New" w:cs="Courier New"/>
          <w:sz w:val="18"/>
          <w:szCs w:val="18"/>
        </w:rPr>
        <w:t xml:space="preserve">    time[i] ~ dweib(k, lambda[i])</w:t>
      </w:r>
    </w:p>
    <w:p w14:paraId="15CF19FD" w14:textId="77777777" w:rsidR="00D30B5E" w:rsidRDefault="00000000">
      <w:pPr>
        <w:ind w:left="360"/>
      </w:pPr>
      <w:r>
        <w:rPr>
          <w:rFonts w:ascii="Courier New" w:eastAsia="Courier New" w:hAnsi="Courier New" w:cs="Courier New"/>
          <w:sz w:val="18"/>
          <w:szCs w:val="18"/>
        </w:rPr>
        <w:t xml:space="preserve">    log(lambda[i]) &lt;- -eta[i]</w:t>
      </w:r>
    </w:p>
    <w:p w14:paraId="4524BDC6" w14:textId="77777777" w:rsidR="00D30B5E" w:rsidRDefault="00000000">
      <w:pPr>
        <w:ind w:left="360"/>
      </w:pPr>
      <w:r>
        <w:rPr>
          <w:rFonts w:ascii="Courier New" w:eastAsia="Courier New" w:hAnsi="Courier New" w:cs="Courier New"/>
          <w:sz w:val="18"/>
          <w:szCs w:val="18"/>
        </w:rPr>
        <w:t xml:space="preserve">    eta[i] &lt;- beta0</w:t>
      </w:r>
    </w:p>
    <w:p w14:paraId="2D913DFB" w14:textId="77777777" w:rsidR="00D30B5E" w:rsidRDefault="00000000">
      <w:pPr>
        <w:ind w:left="360"/>
      </w:pPr>
      <w:r>
        <w:rPr>
          <w:rFonts w:ascii="Courier New" w:eastAsia="Courier New" w:hAnsi="Courier New" w:cs="Courier New"/>
          <w:sz w:val="18"/>
          <w:szCs w:val="18"/>
        </w:rPr>
        <w:t xml:space="preserve">            + beta_trt       * trt[i]</w:t>
      </w:r>
    </w:p>
    <w:p w14:paraId="380392FC" w14:textId="77777777" w:rsidR="00D30B5E" w:rsidRDefault="00000000">
      <w:pPr>
        <w:ind w:left="360"/>
      </w:pPr>
      <w:r>
        <w:rPr>
          <w:rFonts w:ascii="Courier New" w:eastAsia="Courier New" w:hAnsi="Courier New" w:cs="Courier New"/>
          <w:sz w:val="18"/>
          <w:szCs w:val="18"/>
        </w:rPr>
        <w:t xml:space="preserve">            + beta_karno     * karno[i]</w:t>
      </w:r>
    </w:p>
    <w:p w14:paraId="7C2AAE5A" w14:textId="77777777" w:rsidR="00D30B5E" w:rsidRDefault="00000000">
      <w:pPr>
        <w:ind w:left="360"/>
      </w:pPr>
      <w:r>
        <w:rPr>
          <w:rFonts w:ascii="Courier New" w:eastAsia="Courier New" w:hAnsi="Courier New" w:cs="Courier New"/>
          <w:sz w:val="18"/>
          <w:szCs w:val="18"/>
        </w:rPr>
        <w:t xml:space="preserve">            + beta_smallcell * smallcell[i]</w:t>
      </w:r>
    </w:p>
    <w:p w14:paraId="0C6FA69D" w14:textId="77777777" w:rsidR="00D30B5E" w:rsidRDefault="00000000">
      <w:pPr>
        <w:ind w:left="360"/>
      </w:pPr>
      <w:r>
        <w:rPr>
          <w:rFonts w:ascii="Courier New" w:eastAsia="Courier New" w:hAnsi="Courier New" w:cs="Courier New"/>
          <w:sz w:val="18"/>
          <w:szCs w:val="18"/>
        </w:rPr>
        <w:t xml:space="preserve">            + beta_adeno     * adeno[i]</w:t>
      </w:r>
    </w:p>
    <w:p w14:paraId="32578883" w14:textId="77777777" w:rsidR="00D30B5E" w:rsidRDefault="00000000">
      <w:pPr>
        <w:ind w:left="360"/>
      </w:pPr>
      <w:r>
        <w:rPr>
          <w:rFonts w:ascii="Courier New" w:eastAsia="Courier New" w:hAnsi="Courier New" w:cs="Courier New"/>
          <w:sz w:val="18"/>
          <w:szCs w:val="18"/>
        </w:rPr>
        <w:t xml:space="preserve">            + beta_large     * large[i]</w:t>
      </w:r>
    </w:p>
    <w:p w14:paraId="631CDB43" w14:textId="77777777" w:rsidR="00D30B5E" w:rsidRDefault="00000000">
      <w:pPr>
        <w:ind w:left="360"/>
      </w:pPr>
      <w:r>
        <w:rPr>
          <w:rFonts w:ascii="Courier New" w:eastAsia="Courier New" w:hAnsi="Courier New" w:cs="Courier New"/>
          <w:sz w:val="18"/>
          <w:szCs w:val="18"/>
        </w:rPr>
        <w:t xml:space="preserve">  }</w:t>
      </w:r>
    </w:p>
    <w:p w14:paraId="651472BA" w14:textId="77777777" w:rsidR="00D30B5E" w:rsidRDefault="00D30B5E">
      <w:pPr>
        <w:ind w:left="360"/>
      </w:pPr>
    </w:p>
    <w:p w14:paraId="5C823E28" w14:textId="77777777" w:rsidR="00D30B5E" w:rsidRDefault="00000000">
      <w:pPr>
        <w:ind w:left="360"/>
      </w:pPr>
      <w:r>
        <w:rPr>
          <w:rFonts w:ascii="Courier New" w:eastAsia="Courier New" w:hAnsi="Courier New" w:cs="Courier New"/>
          <w:sz w:val="18"/>
          <w:szCs w:val="18"/>
        </w:rPr>
        <w:t xml:space="preserve">  # Vague priors on regression coefficients</w:t>
      </w:r>
    </w:p>
    <w:p w14:paraId="0B9776A7" w14:textId="77777777" w:rsidR="00D30B5E" w:rsidRDefault="00000000">
      <w:pPr>
        <w:ind w:left="360"/>
      </w:pPr>
      <w:r>
        <w:rPr>
          <w:rFonts w:ascii="Courier New" w:eastAsia="Courier New" w:hAnsi="Courier New" w:cs="Courier New"/>
          <w:sz w:val="18"/>
          <w:szCs w:val="18"/>
        </w:rPr>
        <w:t xml:space="preserve">  beta0          ~ dnorm(0, 0.0001)</w:t>
      </w:r>
    </w:p>
    <w:p w14:paraId="4CAF8A48" w14:textId="77777777" w:rsidR="00D30B5E" w:rsidRDefault="00000000">
      <w:pPr>
        <w:ind w:left="360"/>
      </w:pPr>
      <w:r>
        <w:rPr>
          <w:rFonts w:ascii="Courier New" w:eastAsia="Courier New" w:hAnsi="Courier New" w:cs="Courier New"/>
          <w:sz w:val="18"/>
          <w:szCs w:val="18"/>
        </w:rPr>
        <w:t xml:space="preserve">  beta_trt       ~ dnorm(0, 0.0001)</w:t>
      </w:r>
    </w:p>
    <w:p w14:paraId="0558CD0B" w14:textId="77777777" w:rsidR="00D30B5E" w:rsidRDefault="00000000">
      <w:pPr>
        <w:ind w:left="360"/>
      </w:pPr>
      <w:r>
        <w:rPr>
          <w:rFonts w:ascii="Courier New" w:eastAsia="Courier New" w:hAnsi="Courier New" w:cs="Courier New"/>
          <w:sz w:val="18"/>
          <w:szCs w:val="18"/>
        </w:rPr>
        <w:t xml:space="preserve">  beta_karno     ~ dnorm(0, 0.0001)</w:t>
      </w:r>
    </w:p>
    <w:p w14:paraId="3ABECD27" w14:textId="77777777" w:rsidR="00D30B5E" w:rsidRDefault="00000000">
      <w:pPr>
        <w:ind w:left="360"/>
      </w:pPr>
      <w:r>
        <w:rPr>
          <w:rFonts w:ascii="Courier New" w:eastAsia="Courier New" w:hAnsi="Courier New" w:cs="Courier New"/>
          <w:sz w:val="18"/>
          <w:szCs w:val="18"/>
        </w:rPr>
        <w:t xml:space="preserve">  beta_smallcell ~ dnorm(0, 0.0001)</w:t>
      </w:r>
    </w:p>
    <w:p w14:paraId="44D126D0" w14:textId="77777777" w:rsidR="00D30B5E" w:rsidRDefault="00000000">
      <w:pPr>
        <w:ind w:left="360"/>
      </w:pPr>
      <w:r>
        <w:rPr>
          <w:rFonts w:ascii="Courier New" w:eastAsia="Courier New" w:hAnsi="Courier New" w:cs="Courier New"/>
          <w:sz w:val="18"/>
          <w:szCs w:val="18"/>
        </w:rPr>
        <w:t xml:space="preserve">  beta_adeno     ~ dnorm(0, 0.0001)</w:t>
      </w:r>
    </w:p>
    <w:p w14:paraId="26CAC4A4" w14:textId="77777777" w:rsidR="00D30B5E" w:rsidRDefault="00000000">
      <w:pPr>
        <w:ind w:left="360"/>
      </w:pPr>
      <w:r>
        <w:rPr>
          <w:rFonts w:ascii="Courier New" w:eastAsia="Courier New" w:hAnsi="Courier New" w:cs="Courier New"/>
          <w:sz w:val="18"/>
          <w:szCs w:val="18"/>
        </w:rPr>
        <w:t xml:space="preserve">  beta_large     ~ dnorm(0, 0.0001)</w:t>
      </w:r>
    </w:p>
    <w:p w14:paraId="4BE6A191" w14:textId="77777777" w:rsidR="00D30B5E" w:rsidRDefault="00D30B5E">
      <w:pPr>
        <w:ind w:left="360"/>
      </w:pPr>
    </w:p>
    <w:p w14:paraId="69D11748" w14:textId="77777777" w:rsidR="00D30B5E" w:rsidRDefault="00000000">
      <w:pPr>
        <w:ind w:left="360"/>
      </w:pPr>
      <w:r>
        <w:rPr>
          <w:rFonts w:ascii="Courier New" w:eastAsia="Courier New" w:hAnsi="Courier New" w:cs="Courier New"/>
          <w:sz w:val="18"/>
          <w:szCs w:val="18"/>
        </w:rPr>
        <w:t xml:space="preserve">  # Vague prior on the Weibull shape (k &gt; 0)</w:t>
      </w:r>
    </w:p>
    <w:p w14:paraId="15771CAB" w14:textId="77777777" w:rsidR="00D30B5E" w:rsidRDefault="00000000">
      <w:pPr>
        <w:ind w:left="360"/>
      </w:pPr>
      <w:r>
        <w:rPr>
          <w:rFonts w:ascii="Courier New" w:eastAsia="Courier New" w:hAnsi="Courier New" w:cs="Courier New"/>
          <w:sz w:val="18"/>
          <w:szCs w:val="18"/>
        </w:rPr>
        <w:t xml:space="preserve">  k ~ dgamma(0.01, 0.01)</w:t>
      </w:r>
    </w:p>
    <w:p w14:paraId="15939B19" w14:textId="77777777" w:rsidR="00D30B5E" w:rsidRDefault="00000000">
      <w:pPr>
        <w:ind w:left="360"/>
      </w:pPr>
      <w:r>
        <w:rPr>
          <w:rFonts w:ascii="Courier New" w:eastAsia="Courier New" w:hAnsi="Courier New" w:cs="Courier New"/>
          <w:sz w:val="18"/>
          <w:szCs w:val="18"/>
        </w:rPr>
        <w:t>}</w:t>
      </w:r>
    </w:p>
    <w:p w14:paraId="5AB1D2CA" w14:textId="77777777" w:rsidR="00D30B5E" w:rsidRDefault="00D30B5E">
      <w:pPr>
        <w:spacing w:after="140"/>
      </w:pPr>
    </w:p>
    <w:p w14:paraId="72F07EE0" w14:textId="77777777" w:rsidR="00D30B5E" w:rsidRDefault="00000000">
      <w:r>
        <w:br w:type="page"/>
      </w:r>
    </w:p>
    <w:p w14:paraId="0F403C02" w14:textId="35392213"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lastRenderedPageBreak/>
        <w:t xml:space="preserve">Question 2: </w:t>
      </w:r>
      <w:r w:rsidR="00372D72">
        <w:rPr>
          <w:color w:val="000000" w:themeColor="text1"/>
          <w:sz w:val="22"/>
          <w:szCs w:val="22"/>
        </w:rPr>
        <w:br/>
      </w:r>
      <w:r w:rsidR="00372D72" w:rsidRPr="00372D72">
        <w:rPr>
          <w:b w:val="0"/>
          <w:bCs w:val="0"/>
          <w:color w:val="000000" w:themeColor="text1"/>
          <w:sz w:val="22"/>
          <w:szCs w:val="22"/>
        </w:rPr>
        <w:t>Run the MCMC algorithm. Describe your choices (number of chains, iterations, burn-in). Assess convergence of the chains. Use appropriate diagnostics and summarize your conclusions about convergence.</w:t>
      </w:r>
    </w:p>
    <w:p w14:paraId="2E4ACA1B" w14:textId="77777777" w:rsidR="00D30B5E" w:rsidRPr="00372D72" w:rsidRDefault="00000000">
      <w:pPr>
        <w:pStyle w:val="Heading2"/>
        <w:rPr>
          <w:color w:val="000000" w:themeColor="text1"/>
          <w:sz w:val="22"/>
          <w:szCs w:val="22"/>
        </w:rPr>
      </w:pPr>
      <w:r w:rsidRPr="00372D72">
        <w:rPr>
          <w:color w:val="000000" w:themeColor="text1"/>
          <w:sz w:val="22"/>
          <w:szCs w:val="22"/>
        </w:rPr>
        <w:t>MCMC Settings</w:t>
      </w:r>
    </w:p>
    <w:p w14:paraId="06383C30" w14:textId="6D3C6F45" w:rsidR="00D30B5E" w:rsidRDefault="00000000">
      <w:pPr>
        <w:spacing w:after="140"/>
      </w:pPr>
      <w:r>
        <w:rPr>
          <w:b/>
          <w:bCs/>
        </w:rPr>
        <w:t xml:space="preserve">Number of chains: </w:t>
      </w:r>
      <w:r>
        <w:t>3 independent chains were run, each started from overdispersed initial values (coefficients ranging from −5 to +5, shape k ranging from 0.5 to 2.0). Running multiple chains from dispersed starting points is necessary for the Gelman–Rubin diagnostic to be informative</w:t>
      </w:r>
      <w:r w:rsidR="000A2EA6">
        <w:t>. I</w:t>
      </w:r>
      <w:r>
        <w:t>f all chains start near the same point, non-convergence can go undetected.</w:t>
      </w:r>
    </w:p>
    <w:p w14:paraId="3669B0C4" w14:textId="77777777" w:rsidR="00D30B5E" w:rsidRDefault="00000000">
      <w:pPr>
        <w:spacing w:after="140"/>
      </w:pPr>
      <w:r>
        <w:rPr>
          <w:b/>
          <w:bCs/>
        </w:rPr>
        <w:t xml:space="preserve">Adaptation: </w:t>
      </w:r>
      <w:r>
        <w:t>2,000 iterations were used for JAGS to tune its internal samplers before sampling began.</w:t>
      </w:r>
    </w:p>
    <w:p w14:paraId="0FAF12F1" w14:textId="77777777" w:rsidR="00D30B5E" w:rsidRDefault="00000000">
      <w:pPr>
        <w:spacing w:after="140"/>
      </w:pPr>
      <w:r>
        <w:rPr>
          <w:b/>
          <w:bCs/>
        </w:rPr>
        <w:t xml:space="preserve">Burn-in: </w:t>
      </w:r>
      <w:r>
        <w:t>5,000 iterations were discarded at the start of each chain. This allows the chains to move away from their (intentionally extreme) starting values and reach the stationary distribution before we begin collecting samples.</w:t>
      </w:r>
    </w:p>
    <w:p w14:paraId="4A7662D2" w14:textId="77777777" w:rsidR="00D30B5E" w:rsidRDefault="00000000">
      <w:pPr>
        <w:spacing w:after="140"/>
      </w:pPr>
      <w:r>
        <w:rPr>
          <w:b/>
          <w:bCs/>
        </w:rPr>
        <w:t xml:space="preserve">Post burn-in iterations: </w:t>
      </w:r>
      <w:r>
        <w:t>50,000 iterations per chain, thinned by a factor of 10, yielding 5,000 stored samples per chain and 15,000 samples in total. Thinning was applied because initial runs (with thin = 1) showed high autocorrelation in the intercept (β0) and shape parameter (k), reducing the effective sample size. Thinning by 10 brought autocorrelation down to negligible levels by lag 100.</w:t>
      </w:r>
    </w:p>
    <w:p w14:paraId="3AB9DFC4" w14:textId="77777777" w:rsidR="00D30B5E" w:rsidRDefault="00000000">
      <w:pPr>
        <w:spacing w:after="140"/>
      </w:pPr>
      <w:r>
        <w:rPr>
          <w:b/>
          <w:bCs/>
        </w:rPr>
        <w:t xml:space="preserve">Centring of karno: </w:t>
      </w:r>
      <w:r>
        <w:t>The Karnofsky score was mean-centred prior to fitting (karno − mean(karno)). This breaks the strong correlation between the intercept β0 and βkarno that arises when the covariate range is far from zero, and substantially improves mixing for both parameters.</w:t>
      </w:r>
    </w:p>
    <w:p w14:paraId="07CA3501" w14:textId="77777777" w:rsidR="00D30B5E" w:rsidRPr="00372D72" w:rsidRDefault="00000000">
      <w:pPr>
        <w:pStyle w:val="Heading2"/>
        <w:rPr>
          <w:color w:val="000000" w:themeColor="text1"/>
          <w:sz w:val="22"/>
          <w:szCs w:val="22"/>
        </w:rPr>
      </w:pPr>
      <w:r w:rsidRPr="00372D72">
        <w:rPr>
          <w:color w:val="000000" w:themeColor="text1"/>
          <w:sz w:val="22"/>
          <w:szCs w:val="22"/>
        </w:rPr>
        <w:t>Convergence Diagnostics</w:t>
      </w:r>
    </w:p>
    <w:p w14:paraId="73600FD2" w14:textId="77777777" w:rsidR="00D30B5E" w:rsidRDefault="00000000">
      <w:pPr>
        <w:spacing w:after="140"/>
      </w:pPr>
      <w:r>
        <w:t>Four complementary diagnostics were applied.</w:t>
      </w:r>
    </w:p>
    <w:p w14:paraId="474BEECA" w14:textId="77777777" w:rsidR="00D30B5E" w:rsidRDefault="00000000">
      <w:pPr>
        <w:spacing w:after="140"/>
      </w:pPr>
      <w:r>
        <w:rPr>
          <w:b/>
          <w:bCs/>
        </w:rPr>
        <w:t xml:space="preserve">1. Trace plots. </w:t>
      </w:r>
      <w:r>
        <w:t>Visual inspection of the three chains showed good stationarity and overlap throughout the sampling period, with no visible trends, drifts, or sticky regions for any parameter.</w:t>
      </w:r>
    </w:p>
    <w:p w14:paraId="47148CD4" w14:textId="77777777" w:rsidR="00D30B5E" w:rsidRDefault="00000000">
      <w:pPr>
        <w:spacing w:after="140"/>
      </w:pPr>
      <w:r>
        <w:rPr>
          <w:b/>
          <w:bCs/>
        </w:rPr>
        <w:t xml:space="preserve">2. Gelman–Rubin potential scale reduction factor (ĤR). </w:t>
      </w:r>
      <w:r>
        <w:t>The table below reports the point estimate and 97.5th percentile of ĤR for each parameter. All values are at or below 1.01, comfortably below the standard threshold of 1.05. This indicates that between-chain and within-chain variances are in agreement, providing strong evidence of convergence.</w:t>
      </w:r>
    </w:p>
    <w:p w14:paraId="7A6B8BDC" w14:textId="77777777" w:rsidR="00D30B5E" w:rsidRDefault="00D30B5E">
      <w:pPr>
        <w:spacing w:after="120"/>
      </w:pPr>
    </w:p>
    <w:tbl>
      <w:tblPr>
        <w:tblStyle w:val="PlainTable1"/>
        <w:tblW w:w="8360" w:type="dxa"/>
        <w:tblLook w:val="04A0" w:firstRow="1" w:lastRow="0" w:firstColumn="1" w:lastColumn="0" w:noHBand="0" w:noVBand="1"/>
      </w:tblPr>
      <w:tblGrid>
        <w:gridCol w:w="2400"/>
        <w:gridCol w:w="2000"/>
        <w:gridCol w:w="2000"/>
        <w:gridCol w:w="1960"/>
      </w:tblGrid>
      <w:tr w:rsidR="00D30B5E" w14:paraId="72E929B6" w14:textId="77777777" w:rsidTr="00F53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AE177E1" w14:textId="77777777" w:rsidR="00D30B5E" w:rsidRPr="00F53FE7" w:rsidRDefault="00000000">
            <w:pPr>
              <w:rPr>
                <w:b w:val="0"/>
                <w:bCs w:val="0"/>
                <w:color w:val="000000" w:themeColor="text1"/>
              </w:rPr>
            </w:pPr>
            <w:r w:rsidRPr="00F53FE7">
              <w:rPr>
                <w:b w:val="0"/>
                <w:bCs w:val="0"/>
                <w:color w:val="000000" w:themeColor="text1"/>
                <w:sz w:val="20"/>
                <w:szCs w:val="20"/>
              </w:rPr>
              <w:t>Parameter</w:t>
            </w:r>
          </w:p>
        </w:tc>
        <w:tc>
          <w:tcPr>
            <w:tcW w:w="2000" w:type="dxa"/>
          </w:tcPr>
          <w:p w14:paraId="06C09715"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(point est.)</w:t>
            </w:r>
          </w:p>
        </w:tc>
        <w:tc>
          <w:tcPr>
            <w:tcW w:w="2000" w:type="dxa"/>
          </w:tcPr>
          <w:p w14:paraId="2570B7C7"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(upper CI)</w:t>
            </w:r>
          </w:p>
        </w:tc>
        <w:tc>
          <w:tcPr>
            <w:tcW w:w="1960" w:type="dxa"/>
          </w:tcPr>
          <w:p w14:paraId="70471B24"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Eff. sample size</w:t>
            </w:r>
          </w:p>
        </w:tc>
      </w:tr>
      <w:tr w:rsidR="00D30B5E" w14:paraId="63D61BF2"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F2320F" w14:textId="77777777" w:rsidR="00D30B5E" w:rsidRDefault="00000000">
            <w:r>
              <w:rPr>
                <w:b w:val="0"/>
                <w:bCs w:val="0"/>
                <w:color w:val="000000"/>
                <w:sz w:val="20"/>
                <w:szCs w:val="20"/>
              </w:rPr>
              <w:t>β0 (intercept)</w:t>
            </w:r>
          </w:p>
        </w:tc>
        <w:tc>
          <w:tcPr>
            <w:tcW w:w="2000" w:type="dxa"/>
          </w:tcPr>
          <w:p w14:paraId="67776EE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6BE6345C"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973A03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2,099</w:t>
            </w:r>
          </w:p>
        </w:tc>
      </w:tr>
      <w:tr w:rsidR="00D30B5E" w14:paraId="306F7898"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7FAF526" w14:textId="77777777" w:rsidR="00D30B5E" w:rsidRDefault="00000000">
            <w:r>
              <w:rPr>
                <w:b w:val="0"/>
                <w:bCs w:val="0"/>
                <w:color w:val="000000"/>
                <w:sz w:val="20"/>
                <w:szCs w:val="20"/>
              </w:rPr>
              <w:t>βtrt (treatment)</w:t>
            </w:r>
          </w:p>
        </w:tc>
        <w:tc>
          <w:tcPr>
            <w:tcW w:w="2000" w:type="dxa"/>
          </w:tcPr>
          <w:p w14:paraId="619B6B4D"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2270412A"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4780BA14"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9,566</w:t>
            </w:r>
          </w:p>
        </w:tc>
      </w:tr>
      <w:tr w:rsidR="00D30B5E" w14:paraId="166AFC2A"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F722534" w14:textId="77777777" w:rsidR="00D30B5E" w:rsidRDefault="00000000">
            <w:r>
              <w:rPr>
                <w:b w:val="0"/>
                <w:bCs w:val="0"/>
                <w:color w:val="000000"/>
                <w:sz w:val="20"/>
                <w:szCs w:val="20"/>
              </w:rPr>
              <w:t>βkarno (Karnofsky score)</w:t>
            </w:r>
          </w:p>
        </w:tc>
        <w:tc>
          <w:tcPr>
            <w:tcW w:w="2000" w:type="dxa"/>
          </w:tcPr>
          <w:p w14:paraId="190A086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30F0CFA0"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215A0B2A"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11,956</w:t>
            </w:r>
          </w:p>
        </w:tc>
      </w:tr>
      <w:tr w:rsidR="00D30B5E" w14:paraId="72236F03"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15889B0" w14:textId="77777777" w:rsidR="00D30B5E" w:rsidRDefault="00000000">
            <w:r>
              <w:rPr>
                <w:b w:val="0"/>
                <w:bCs w:val="0"/>
                <w:color w:val="000000"/>
                <w:sz w:val="20"/>
                <w:szCs w:val="20"/>
              </w:rPr>
              <w:t>βsc (small-cell)</w:t>
            </w:r>
          </w:p>
        </w:tc>
        <w:tc>
          <w:tcPr>
            <w:tcW w:w="2000" w:type="dxa"/>
          </w:tcPr>
          <w:p w14:paraId="5CA6E1C7"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09307C05"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24126E6F"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5,572</w:t>
            </w:r>
          </w:p>
        </w:tc>
      </w:tr>
      <w:tr w:rsidR="00D30B5E" w14:paraId="71C883D0"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466CC5C" w14:textId="77777777" w:rsidR="00D30B5E" w:rsidRDefault="00000000">
            <w:r>
              <w:rPr>
                <w:b w:val="0"/>
                <w:bCs w:val="0"/>
                <w:color w:val="000000"/>
                <w:sz w:val="20"/>
                <w:szCs w:val="20"/>
              </w:rPr>
              <w:t>βad (adenocarcinoma)</w:t>
            </w:r>
          </w:p>
        </w:tc>
        <w:tc>
          <w:tcPr>
            <w:tcW w:w="2000" w:type="dxa"/>
          </w:tcPr>
          <w:p w14:paraId="06BAD272"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48281DE7"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4610137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5,664</w:t>
            </w:r>
          </w:p>
        </w:tc>
      </w:tr>
      <w:tr w:rsidR="00D30B5E" w14:paraId="365AB202"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3475C7DC" w14:textId="77777777" w:rsidR="00D30B5E" w:rsidRDefault="00000000">
            <w:r>
              <w:rPr>
                <w:b w:val="0"/>
                <w:bCs w:val="0"/>
                <w:color w:val="000000"/>
                <w:sz w:val="20"/>
                <w:szCs w:val="20"/>
              </w:rPr>
              <w:t>βlg (large-cell)</w:t>
            </w:r>
          </w:p>
        </w:tc>
        <w:tc>
          <w:tcPr>
            <w:tcW w:w="2000" w:type="dxa"/>
          </w:tcPr>
          <w:p w14:paraId="25812228"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66082D33"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62BAE11B"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7,400</w:t>
            </w:r>
          </w:p>
        </w:tc>
      </w:tr>
      <w:tr w:rsidR="00D30B5E" w14:paraId="6B6E0481"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6BD177" w14:textId="77777777" w:rsidR="00D30B5E" w:rsidRDefault="00000000">
            <w:r>
              <w:rPr>
                <w:b w:val="0"/>
                <w:bCs w:val="0"/>
                <w:color w:val="000000"/>
                <w:sz w:val="20"/>
                <w:szCs w:val="20"/>
              </w:rPr>
              <w:t>k (shape)</w:t>
            </w:r>
          </w:p>
        </w:tc>
        <w:tc>
          <w:tcPr>
            <w:tcW w:w="2000" w:type="dxa"/>
          </w:tcPr>
          <w:p w14:paraId="534F9ACB"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2FF25269"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E5058D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2,417</w:t>
            </w:r>
          </w:p>
        </w:tc>
      </w:tr>
    </w:tbl>
    <w:p w14:paraId="76AFAA31" w14:textId="77777777" w:rsidR="00D30B5E" w:rsidRDefault="00D30B5E">
      <w:pPr>
        <w:spacing w:after="140"/>
      </w:pPr>
    </w:p>
    <w:p w14:paraId="4C211834" w14:textId="77777777" w:rsidR="00D30B5E" w:rsidRDefault="00000000">
      <w:pPr>
        <w:spacing w:after="140"/>
      </w:pPr>
      <w:r>
        <w:rPr>
          <w:b/>
          <w:bCs/>
        </w:rPr>
        <w:t xml:space="preserve">3. Effective sample size (ESS). </w:t>
      </w:r>
      <w:r>
        <w:t xml:space="preserve">ESS values are shown in the table above. The intercept β0 and shape k have the lowest ESS (2,099 and 2,417 respectively), reflecting their residual </w:t>
      </w:r>
      <w:r>
        <w:lastRenderedPageBreak/>
        <w:t>autocorrelation. All other parameters exceed 5,000. These values are sufficient for reliable posterior inference.</w:t>
      </w:r>
    </w:p>
    <w:p w14:paraId="2CAA6D37" w14:textId="77777777" w:rsidR="00D30B5E" w:rsidRDefault="00000000">
      <w:pPr>
        <w:spacing w:after="140"/>
      </w:pPr>
      <w:r>
        <w:rPr>
          <w:b/>
          <w:bCs/>
        </w:rPr>
        <w:t xml:space="preserve">4. Geweke diagnostic. </w:t>
      </w:r>
      <w:r>
        <w:t>Geweke z-scores compare the mean of the first 10% of each chain to the last 50%, after accounting for autocorrelation. All z-scores are within |z| &lt; 2 across all three chains, with the sole exception of βtrt in chain 3 (z = 2.01). This borderline value is not a concern: with 7 parameters across 3 chains (21 tests), one value marginally exceeding 2 is expected by chance under the null hypothesis of stationarity.</w:t>
      </w:r>
    </w:p>
    <w:p w14:paraId="212CA728" w14:textId="77777777" w:rsidR="00D30B5E" w:rsidRDefault="00000000">
      <w:pPr>
        <w:spacing w:after="140"/>
      </w:pPr>
      <w:r>
        <w:rPr>
          <w:b/>
          <w:bCs/>
        </w:rPr>
        <w:t xml:space="preserve">5. Heidelberger–Welch test. </w:t>
      </w:r>
      <w:r>
        <w:t>Every parameter passed both the stationarity test and the halfwidth test in all three chains, starting from iteration 1 in nearly all cases. This provides additional confirmation that the chains had converged well within the 5,000-iteration burn-in period.</w:t>
      </w:r>
    </w:p>
    <w:p w14:paraId="49156AA5" w14:textId="77777777" w:rsidR="00D30B5E" w:rsidRPr="00372D72" w:rsidRDefault="00000000">
      <w:pPr>
        <w:pStyle w:val="Heading2"/>
        <w:rPr>
          <w:color w:val="000000" w:themeColor="text1"/>
        </w:rPr>
      </w:pPr>
      <w:r w:rsidRPr="00372D72">
        <w:rPr>
          <w:color w:val="000000" w:themeColor="text1"/>
        </w:rPr>
        <w:t>Conclusion</w:t>
      </w:r>
    </w:p>
    <w:p w14:paraId="0507D480" w14:textId="2E0109CE" w:rsidR="00A410FF" w:rsidRDefault="00000000">
      <w:pPr>
        <w:spacing w:after="140"/>
      </w:pPr>
      <w:r>
        <w:t>All diagnostic criteria are satisfied. The chains have converged to a common stationary distribution. With 15,000 post-thinning samples and effective sample sizes above 2,000 for all parameters, the posterior summaries obtained from this MCMC run are reliable.</w:t>
      </w:r>
    </w:p>
    <w:p w14:paraId="21BA5D87" w14:textId="50176EC3" w:rsidR="00A410FF" w:rsidRDefault="00A410FF" w:rsidP="00A410FF">
      <w:pPr>
        <w:pStyle w:val="Heading1"/>
        <w:rPr>
          <w:b w:val="0"/>
          <w:bCs w:val="0"/>
          <w:color w:val="auto"/>
          <w:sz w:val="22"/>
          <w:szCs w:val="22"/>
        </w:rPr>
      </w:pPr>
      <w:r w:rsidRPr="00231B54">
        <w:rPr>
          <w:color w:val="auto"/>
          <w:sz w:val="24"/>
          <w:szCs w:val="24"/>
        </w:rPr>
        <w:t>Question 3:</w:t>
      </w:r>
      <w:r>
        <w:rPr>
          <w:color w:val="auto"/>
          <w:sz w:val="22"/>
          <w:szCs w:val="22"/>
        </w:rPr>
        <w:br/>
      </w:r>
      <w:r w:rsidRPr="00231B54">
        <w:rPr>
          <w:b w:val="0"/>
          <w:bCs w:val="0"/>
          <w:color w:val="auto"/>
          <w:sz w:val="22"/>
          <w:szCs w:val="22"/>
        </w:rPr>
        <w:t>Give (point and interval) posterior summaries for all the parameters in the model. Interpret the effects of treatment, Karnofsky score, and cell type.</w:t>
      </w:r>
    </w:p>
    <w:p w14:paraId="05A2C981" w14:textId="77777777" w:rsidR="00A410FF" w:rsidRPr="00B75DB5" w:rsidRDefault="00A410FF" w:rsidP="00A410FF">
      <w:pPr>
        <w:pStyle w:val="Heading2"/>
        <w:rPr>
          <w:color w:val="auto"/>
          <w:sz w:val="22"/>
          <w:szCs w:val="22"/>
        </w:rPr>
      </w:pPr>
      <w:r w:rsidRPr="00B75DB5">
        <w:rPr>
          <w:color w:val="auto"/>
          <w:sz w:val="22"/>
          <w:szCs w:val="22"/>
        </w:rPr>
        <w:t>Posterior Summaries</w:t>
      </w:r>
    </w:p>
    <w:p w14:paraId="51191BF3" w14:textId="77777777" w:rsidR="00A410FF" w:rsidRDefault="00A410FF" w:rsidP="00A410FF">
      <w:pPr>
        <w:rPr>
          <w:b/>
          <w:bCs/>
        </w:rPr>
      </w:pPr>
    </w:p>
    <w:tbl>
      <w:tblPr>
        <w:tblStyle w:val="PlainTable1"/>
        <w:tblW w:w="7895" w:type="dxa"/>
        <w:jc w:val="center"/>
        <w:tblLook w:val="04A0" w:firstRow="1" w:lastRow="0" w:firstColumn="1" w:lastColumn="0" w:noHBand="0" w:noVBand="1"/>
      </w:tblPr>
      <w:tblGrid>
        <w:gridCol w:w="1905"/>
        <w:gridCol w:w="994"/>
        <w:gridCol w:w="1919"/>
        <w:gridCol w:w="3077"/>
      </w:tblGrid>
      <w:tr w:rsidR="00A410FF" w:rsidRPr="00231B54" w14:paraId="2560294E"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521B0F" w14:textId="77777777" w:rsidR="00A410FF" w:rsidRPr="00A564BA" w:rsidRDefault="00A410FF" w:rsidP="005125EA">
            <w:pPr>
              <w:jc w:val="center"/>
              <w:rPr>
                <w:szCs w:val="18"/>
              </w:rPr>
            </w:pPr>
            <w:r w:rsidRPr="00A564BA">
              <w:rPr>
                <w:szCs w:val="18"/>
              </w:rPr>
              <w:t>Parameter</w:t>
            </w:r>
          </w:p>
        </w:tc>
        <w:tc>
          <w:tcPr>
            <w:tcW w:w="0" w:type="auto"/>
            <w:vAlign w:val="center"/>
            <w:hideMark/>
          </w:tcPr>
          <w:p w14:paraId="27E4E9D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Mean</w:t>
            </w:r>
          </w:p>
        </w:tc>
        <w:tc>
          <w:tcPr>
            <w:tcW w:w="0" w:type="auto"/>
            <w:vAlign w:val="center"/>
            <w:hideMark/>
          </w:tcPr>
          <w:p w14:paraId="13EC8D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Median (50%)</w:t>
            </w:r>
          </w:p>
        </w:tc>
        <w:tc>
          <w:tcPr>
            <w:tcW w:w="0" w:type="auto"/>
            <w:vAlign w:val="center"/>
            <w:hideMark/>
          </w:tcPr>
          <w:p w14:paraId="750A40A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66F8FC16"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1D63EF" w14:textId="77777777" w:rsidR="00A410FF" w:rsidRPr="00A564BA" w:rsidRDefault="00A410FF" w:rsidP="005125EA">
            <w:pPr>
              <w:jc w:val="center"/>
              <w:rPr>
                <w:b w:val="0"/>
                <w:bCs w:val="0"/>
              </w:rPr>
            </w:pPr>
            <w:r w:rsidRPr="00A564BA">
              <w:rPr>
                <w:b w:val="0"/>
                <w:bCs w:val="0"/>
              </w:rPr>
              <w:t>beta0</w:t>
            </w:r>
          </w:p>
        </w:tc>
        <w:tc>
          <w:tcPr>
            <w:tcW w:w="0" w:type="auto"/>
            <w:vAlign w:val="center"/>
            <w:hideMark/>
          </w:tcPr>
          <w:p w14:paraId="038FB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5.586</w:t>
            </w:r>
          </w:p>
        </w:tc>
        <w:tc>
          <w:tcPr>
            <w:tcW w:w="0" w:type="auto"/>
            <w:vAlign w:val="center"/>
            <w:hideMark/>
          </w:tcPr>
          <w:p w14:paraId="3B56049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5.579</w:t>
            </w:r>
          </w:p>
        </w:tc>
        <w:tc>
          <w:tcPr>
            <w:tcW w:w="0" w:type="auto"/>
            <w:vAlign w:val="center"/>
            <w:hideMark/>
          </w:tcPr>
          <w:p w14:paraId="6DFB9110"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[4.676, 6.522]</w:t>
            </w:r>
          </w:p>
        </w:tc>
      </w:tr>
      <w:tr w:rsidR="00A410FF" w:rsidRPr="00231B54" w14:paraId="09065DB6"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BB9C5" w14:textId="77777777" w:rsidR="00A410FF" w:rsidRPr="00A564BA" w:rsidRDefault="00A410FF" w:rsidP="005125EA">
            <w:pPr>
              <w:jc w:val="center"/>
              <w:rPr>
                <w:b w:val="0"/>
                <w:bCs w:val="0"/>
              </w:rPr>
            </w:pPr>
            <w:proofErr w:type="spellStart"/>
            <w:r w:rsidRPr="00A564BA">
              <w:rPr>
                <w:b w:val="0"/>
                <w:bCs w:val="0"/>
              </w:rPr>
              <w:t>beta_adeno</w:t>
            </w:r>
            <w:proofErr w:type="spellEnd"/>
          </w:p>
        </w:tc>
        <w:tc>
          <w:tcPr>
            <w:tcW w:w="0" w:type="auto"/>
            <w:vAlign w:val="center"/>
            <w:hideMark/>
          </w:tcPr>
          <w:p w14:paraId="0642BC59"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-1.100</w:t>
            </w:r>
          </w:p>
        </w:tc>
        <w:tc>
          <w:tcPr>
            <w:tcW w:w="0" w:type="auto"/>
            <w:vAlign w:val="center"/>
            <w:hideMark/>
          </w:tcPr>
          <w:p w14:paraId="49404686"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-1.102</w:t>
            </w:r>
          </w:p>
        </w:tc>
        <w:tc>
          <w:tcPr>
            <w:tcW w:w="0" w:type="auto"/>
            <w:vAlign w:val="center"/>
            <w:hideMark/>
          </w:tcPr>
          <w:p w14:paraId="41DE5241"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[-1.658, -0.529]</w:t>
            </w:r>
          </w:p>
        </w:tc>
      </w:tr>
      <w:tr w:rsidR="00A410FF" w:rsidRPr="00231B54" w14:paraId="74B44C12"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5B747" w14:textId="77777777" w:rsidR="00A410FF" w:rsidRPr="00A564BA" w:rsidRDefault="00A410FF" w:rsidP="005125EA">
            <w:pPr>
              <w:jc w:val="center"/>
              <w:rPr>
                <w:b w:val="0"/>
                <w:bCs w:val="0"/>
              </w:rPr>
            </w:pPr>
            <w:proofErr w:type="spellStart"/>
            <w:r w:rsidRPr="00A564BA">
              <w:rPr>
                <w:b w:val="0"/>
                <w:bCs w:val="0"/>
              </w:rPr>
              <w:t>beta_karno</w:t>
            </w:r>
            <w:proofErr w:type="spellEnd"/>
          </w:p>
        </w:tc>
        <w:tc>
          <w:tcPr>
            <w:tcW w:w="0" w:type="auto"/>
            <w:vAlign w:val="center"/>
            <w:hideMark/>
          </w:tcPr>
          <w:p w14:paraId="11950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1D2418B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0CD579F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[0.020, 0.040]</w:t>
            </w:r>
          </w:p>
        </w:tc>
      </w:tr>
      <w:tr w:rsidR="00A410FF" w:rsidRPr="00231B54" w14:paraId="42E74D4F"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744DA" w14:textId="77777777" w:rsidR="00A410FF" w:rsidRPr="00A564BA" w:rsidRDefault="00A410FF" w:rsidP="005125EA">
            <w:pPr>
              <w:jc w:val="center"/>
              <w:rPr>
                <w:b w:val="0"/>
                <w:bCs w:val="0"/>
              </w:rPr>
            </w:pPr>
            <w:proofErr w:type="spellStart"/>
            <w:r w:rsidRPr="00A564BA">
              <w:rPr>
                <w:b w:val="0"/>
                <w:bCs w:val="0"/>
              </w:rPr>
              <w:t>beta_large</w:t>
            </w:r>
            <w:proofErr w:type="spellEnd"/>
          </w:p>
        </w:tc>
        <w:tc>
          <w:tcPr>
            <w:tcW w:w="0" w:type="auto"/>
            <w:vAlign w:val="center"/>
            <w:hideMark/>
          </w:tcPr>
          <w:p w14:paraId="347931D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2879EC5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686D446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[-0.892, 0.200]</w:t>
            </w:r>
          </w:p>
        </w:tc>
      </w:tr>
      <w:tr w:rsidR="00A410FF" w:rsidRPr="00231B54" w14:paraId="7EB20E7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8DBA9F" w14:textId="77777777" w:rsidR="00A410FF" w:rsidRPr="00A564BA" w:rsidRDefault="00A410FF" w:rsidP="005125EA">
            <w:pPr>
              <w:jc w:val="center"/>
              <w:rPr>
                <w:b w:val="0"/>
                <w:bCs w:val="0"/>
              </w:rPr>
            </w:pPr>
            <w:proofErr w:type="spellStart"/>
            <w:r w:rsidRPr="00A564BA">
              <w:rPr>
                <w:b w:val="0"/>
                <w:bCs w:val="0"/>
              </w:rPr>
              <w:t>beta_smallcell</w:t>
            </w:r>
            <w:proofErr w:type="spellEnd"/>
          </w:p>
        </w:tc>
        <w:tc>
          <w:tcPr>
            <w:tcW w:w="0" w:type="auto"/>
            <w:vAlign w:val="center"/>
            <w:hideMark/>
          </w:tcPr>
          <w:p w14:paraId="5E3D475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-0.879</w:t>
            </w:r>
          </w:p>
        </w:tc>
        <w:tc>
          <w:tcPr>
            <w:tcW w:w="0" w:type="auto"/>
            <w:vAlign w:val="center"/>
            <w:hideMark/>
          </w:tcPr>
          <w:p w14:paraId="6FE5DB4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-0.878</w:t>
            </w:r>
          </w:p>
        </w:tc>
        <w:tc>
          <w:tcPr>
            <w:tcW w:w="0" w:type="auto"/>
            <w:vAlign w:val="center"/>
            <w:hideMark/>
          </w:tcPr>
          <w:p w14:paraId="601AC98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[-1.410, -0.370]</w:t>
            </w:r>
          </w:p>
        </w:tc>
      </w:tr>
      <w:tr w:rsidR="00A410FF" w:rsidRPr="00231B54" w14:paraId="76BCC9EE"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2D86F" w14:textId="77777777" w:rsidR="00A410FF" w:rsidRPr="00A564BA" w:rsidRDefault="00A410FF" w:rsidP="005125EA">
            <w:pPr>
              <w:jc w:val="center"/>
              <w:rPr>
                <w:b w:val="0"/>
                <w:bCs w:val="0"/>
              </w:rPr>
            </w:pPr>
            <w:proofErr w:type="spellStart"/>
            <w:r w:rsidRPr="00A564BA">
              <w:rPr>
                <w:b w:val="0"/>
                <w:bCs w:val="0"/>
              </w:rPr>
              <w:t>beta_trt</w:t>
            </w:r>
            <w:proofErr w:type="spellEnd"/>
          </w:p>
        </w:tc>
        <w:tc>
          <w:tcPr>
            <w:tcW w:w="0" w:type="auto"/>
            <w:vAlign w:val="center"/>
            <w:hideMark/>
          </w:tcPr>
          <w:p w14:paraId="0C95DA1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6BDC6DE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027251E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[-0.612, 0.166]</w:t>
            </w:r>
          </w:p>
        </w:tc>
      </w:tr>
      <w:tr w:rsidR="00A410FF" w:rsidRPr="00231B54" w14:paraId="78E5228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9BA673" w14:textId="77777777" w:rsidR="00A410FF" w:rsidRPr="00A564BA" w:rsidRDefault="00A410FF" w:rsidP="005125EA">
            <w:pPr>
              <w:jc w:val="center"/>
              <w:rPr>
                <w:b w:val="0"/>
                <w:bCs w:val="0"/>
              </w:rPr>
            </w:pPr>
            <w:r w:rsidRPr="00A564BA">
              <w:rPr>
                <w:b w:val="0"/>
                <w:bCs w:val="0"/>
              </w:rPr>
              <w:t>k</w:t>
            </w:r>
          </w:p>
        </w:tc>
        <w:tc>
          <w:tcPr>
            <w:tcW w:w="0" w:type="auto"/>
            <w:vAlign w:val="center"/>
            <w:hideMark/>
          </w:tcPr>
          <w:p w14:paraId="454D656A"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453872F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219F574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[0.927, 1.201]</w:t>
            </w:r>
          </w:p>
        </w:tc>
      </w:tr>
    </w:tbl>
    <w:p w14:paraId="096B658D" w14:textId="77777777" w:rsidR="00A410FF" w:rsidRPr="00231B54" w:rsidRDefault="00A410FF" w:rsidP="00A410FF">
      <w:pPr>
        <w:rPr>
          <w:b/>
          <w:bCs/>
        </w:rPr>
      </w:pPr>
    </w:p>
    <w:p w14:paraId="78237C1B" w14:textId="77777777" w:rsidR="00A410FF" w:rsidRDefault="00A410FF" w:rsidP="00A410FF"/>
    <w:p w14:paraId="045D0642" w14:textId="77777777" w:rsidR="00A410FF" w:rsidRDefault="00A410FF" w:rsidP="00A410FF">
      <w:r>
        <w:t>(Statistically, we may rest assured that these figures are reliable, thanks to the convergence we checked in Question 2.)</w:t>
      </w:r>
    </w:p>
    <w:p w14:paraId="7FC5BB8F" w14:textId="77777777" w:rsidR="00A410FF" w:rsidRDefault="00A410FF" w:rsidP="00A410FF"/>
    <w:p w14:paraId="5FB955E2" w14:textId="77777777" w:rsidR="00A410FF" w:rsidRPr="00B75DB5" w:rsidRDefault="00A410FF" w:rsidP="00A410FF">
      <w:pPr>
        <w:pStyle w:val="Heading2"/>
        <w:rPr>
          <w:color w:val="auto"/>
          <w:sz w:val="22"/>
          <w:szCs w:val="22"/>
        </w:rPr>
      </w:pPr>
      <w:r w:rsidRPr="00B75DB5">
        <w:rPr>
          <w:color w:val="auto"/>
          <w:sz w:val="22"/>
          <w:szCs w:val="22"/>
        </w:rPr>
        <w:t>Interpretation</w:t>
      </w:r>
    </w:p>
    <w:p w14:paraId="64209F88" w14:textId="77777777" w:rsidR="00A410FF" w:rsidRDefault="00A410FF" w:rsidP="00A410FF">
      <w:pPr>
        <w:rPr>
          <w:b/>
          <w:bCs/>
        </w:rPr>
      </w:pPr>
    </w:p>
    <w:p w14:paraId="52951BD7" w14:textId="77777777" w:rsidR="00A410FF" w:rsidRDefault="00A410FF" w:rsidP="00A410FF">
      <w:pPr>
        <w:pStyle w:val="ListParagraph"/>
        <w:numPr>
          <w:ilvl w:val="0"/>
          <w:numId w:val="2"/>
        </w:numPr>
        <w:jc w:val="both"/>
      </w:pPr>
      <w:r>
        <w:t xml:space="preserve">The 95% credible interval for </w:t>
      </w:r>
      <w:proofErr w:type="spellStart"/>
      <w:r>
        <w:t>beta_trt</w:t>
      </w:r>
      <w:proofErr w:type="spellEnd"/>
      <w:r>
        <w:t xml:space="preserve"> includes 0. This implies that we lack enough statistical evidence to state that the efficacy of the test chemotherapy is significantly different from that of the standard therapy.</w:t>
      </w:r>
    </w:p>
    <w:p w14:paraId="3D59F57A" w14:textId="77777777" w:rsidR="00A410FF" w:rsidRDefault="00A410FF" w:rsidP="00A410FF">
      <w:pPr>
        <w:pStyle w:val="ListParagraph"/>
        <w:ind w:left="720"/>
        <w:jc w:val="both"/>
      </w:pPr>
    </w:p>
    <w:p w14:paraId="3F2B1227" w14:textId="77777777" w:rsidR="00A410FF" w:rsidRDefault="00A410FF" w:rsidP="00A410FF">
      <w:pPr>
        <w:pStyle w:val="ListParagraph"/>
        <w:numPr>
          <w:ilvl w:val="0"/>
          <w:numId w:val="2"/>
        </w:numPr>
        <w:jc w:val="both"/>
      </w:pPr>
      <w:r>
        <w:t xml:space="preserve">The 95% C.I. for </w:t>
      </w:r>
      <w:proofErr w:type="spellStart"/>
      <w:r>
        <w:t>beta_karno</w:t>
      </w:r>
      <w:proofErr w:type="spellEnd"/>
      <w:r>
        <w:t xml:space="preserve"> is strictly positive! This means that a unit increase in the Karnofsky performance score does credibly indicate an increase in a patient’s survival time.</w:t>
      </w:r>
    </w:p>
    <w:p w14:paraId="72642AEC" w14:textId="77777777" w:rsidR="00A410FF" w:rsidRPr="00217C53" w:rsidRDefault="00A410FF" w:rsidP="00A410FF">
      <w:pPr>
        <w:jc w:val="both"/>
      </w:pPr>
    </w:p>
    <w:p w14:paraId="07CF87E3" w14:textId="77777777" w:rsidR="00A410FF" w:rsidRDefault="00A410FF" w:rsidP="00A410FF">
      <w:pPr>
        <w:pStyle w:val="ListParagraph"/>
        <w:numPr>
          <w:ilvl w:val="0"/>
          <w:numId w:val="2"/>
        </w:numPr>
        <w:jc w:val="both"/>
      </w:pPr>
      <w:r>
        <w:lastRenderedPageBreak/>
        <w:t>For cell type, our reference value was ‘squamous’, so the interpretations for “</w:t>
      </w:r>
      <w:proofErr w:type="spellStart"/>
      <w:r>
        <w:t>beta_adeno</w:t>
      </w:r>
      <w:proofErr w:type="spellEnd"/>
      <w:r>
        <w:t>”, “</w:t>
      </w:r>
      <w:proofErr w:type="spellStart"/>
      <w:r>
        <w:t>beta_smallcell</w:t>
      </w:r>
      <w:proofErr w:type="spellEnd"/>
      <w:r>
        <w:t>”, and “</w:t>
      </w:r>
      <w:proofErr w:type="spellStart"/>
      <w:r>
        <w:t>beta_large</w:t>
      </w:r>
      <w:proofErr w:type="spellEnd"/>
      <w:r>
        <w:t>” will all be relative to that cell type.</w:t>
      </w:r>
      <w:r>
        <w:br/>
      </w:r>
    </w:p>
    <w:p w14:paraId="3F9CD586" w14:textId="77777777" w:rsidR="00A410FF" w:rsidRDefault="00A410FF" w:rsidP="00A410FF">
      <w:pPr>
        <w:pStyle w:val="ListParagraph"/>
        <w:numPr>
          <w:ilvl w:val="1"/>
          <w:numId w:val="2"/>
        </w:numPr>
        <w:jc w:val="both"/>
      </w:pPr>
      <w:proofErr w:type="spellStart"/>
      <w:r>
        <w:t>beta_adeno’s</w:t>
      </w:r>
      <w:proofErr w:type="spellEnd"/>
      <w:r>
        <w:t xml:space="preserve"> C.I. remains strictly below zero, meaning that having a tumour with cells of the type </w:t>
      </w:r>
      <w:r w:rsidRPr="005F492F">
        <w:t>adenocarcinoma</w:t>
      </w:r>
      <w:r>
        <w:t xml:space="preserve"> is more detrimental to survival than the squamous cell type.</w:t>
      </w:r>
    </w:p>
    <w:p w14:paraId="7EB84925" w14:textId="77777777" w:rsidR="00A410FF" w:rsidRDefault="00A410FF" w:rsidP="00A410FF">
      <w:pPr>
        <w:pStyle w:val="ListParagraph"/>
        <w:ind w:left="1440"/>
        <w:jc w:val="both"/>
      </w:pPr>
    </w:p>
    <w:p w14:paraId="7EDB1DFA" w14:textId="77777777" w:rsidR="00A410FF" w:rsidRDefault="00A410FF" w:rsidP="00A410FF">
      <w:pPr>
        <w:pStyle w:val="ListParagraph"/>
        <w:numPr>
          <w:ilvl w:val="1"/>
          <w:numId w:val="2"/>
        </w:numPr>
        <w:jc w:val="both"/>
      </w:pPr>
      <w:proofErr w:type="spellStart"/>
      <w:r>
        <w:t>beta_smallcell’s</w:t>
      </w:r>
      <w:proofErr w:type="spellEnd"/>
      <w:r>
        <w:t xml:space="preserve"> C.I. is also strictly below zero, so the same conclusion can be drawn as for </w:t>
      </w:r>
      <w:proofErr w:type="spellStart"/>
      <w:r>
        <w:t>beta_adeno</w:t>
      </w:r>
      <w:proofErr w:type="spellEnd"/>
      <w:r>
        <w:t>.</w:t>
      </w:r>
    </w:p>
    <w:p w14:paraId="371A04AB" w14:textId="77777777" w:rsidR="00A410FF" w:rsidRPr="00217C53" w:rsidRDefault="00A410FF" w:rsidP="00A410FF">
      <w:pPr>
        <w:jc w:val="both"/>
      </w:pPr>
    </w:p>
    <w:p w14:paraId="7C31EFE8" w14:textId="77777777" w:rsidR="00A410FF" w:rsidRDefault="00A410FF" w:rsidP="00A410FF">
      <w:pPr>
        <w:pStyle w:val="ListParagraph"/>
        <w:numPr>
          <w:ilvl w:val="1"/>
          <w:numId w:val="2"/>
        </w:numPr>
        <w:jc w:val="both"/>
      </w:pPr>
      <w:proofErr w:type="spellStart"/>
      <w:r>
        <w:t>beta_large’s</w:t>
      </w:r>
      <w:proofErr w:type="spellEnd"/>
      <w:r>
        <w:t xml:space="preserve"> C.I., on the other hand, contains zero, meaning that, statistically speaking, we cannot confidently say that the impact of a </w:t>
      </w:r>
      <w:proofErr w:type="spellStart"/>
      <w:r>
        <w:t>tumor</w:t>
      </w:r>
      <w:proofErr w:type="spellEnd"/>
      <w:r>
        <w:t xml:space="preserve"> of this cell type on survival time is significantly different from that of the squamous cell type.  </w:t>
      </w:r>
    </w:p>
    <w:p w14:paraId="22CD84AE" w14:textId="77777777" w:rsidR="00A410FF" w:rsidRDefault="00A410FF" w:rsidP="00A410FF">
      <w:r>
        <w:br w:type="page"/>
      </w:r>
    </w:p>
    <w:p w14:paraId="4167C22E" w14:textId="77777777" w:rsidR="00A410FF" w:rsidRDefault="00A410FF" w:rsidP="00A410FF">
      <w:pPr>
        <w:jc w:val="both"/>
        <w:rPr>
          <w:lang w:val="en-US"/>
        </w:rPr>
      </w:pPr>
      <w:r>
        <w:rPr>
          <w:b/>
          <w:bCs/>
          <w:lang w:val="en-US"/>
        </w:rPr>
        <w:lastRenderedPageBreak/>
        <w:t>Question 4:</w:t>
      </w:r>
    </w:p>
    <w:p w14:paraId="449136AD" w14:textId="77777777" w:rsidR="00A410FF" w:rsidRDefault="00A410FF" w:rsidP="00A410FF">
      <w:pPr>
        <w:jc w:val="both"/>
        <w:rPr>
          <w:lang w:val="en-US"/>
        </w:rPr>
      </w:pPr>
    </w:p>
    <w:p w14:paraId="11EB6E21" w14:textId="77777777" w:rsidR="00A410FF" w:rsidRPr="0003165C" w:rsidRDefault="00A410FF" w:rsidP="00A410FF">
      <w:pPr>
        <w:jc w:val="both"/>
        <w:rPr>
          <w:lang w:val="en-US"/>
        </w:rPr>
      </w:pPr>
      <w:r w:rsidRPr="0003165C">
        <w:rPr>
          <w:lang w:val="en-US"/>
        </w:rPr>
        <w:t>A hazard ratio compares the instantaneous risk of death between two</w:t>
      </w:r>
      <w:r>
        <w:rPr>
          <w:lang w:val="en-US"/>
        </w:rPr>
        <w:t xml:space="preserve"> </w:t>
      </w:r>
      <w:r w:rsidRPr="0003165C">
        <w:rPr>
          <w:lang w:val="en-US"/>
        </w:rPr>
        <w:t>groups. In this model, the hazard ratio for a one-unit increase in a</w:t>
      </w:r>
      <w:r>
        <w:rPr>
          <w:lang w:val="en-US"/>
        </w:rPr>
        <w:t xml:space="preserve"> </w:t>
      </w:r>
      <w:r w:rsidRPr="0003165C">
        <w:rPr>
          <w:lang w:val="en-US"/>
        </w:rPr>
        <w:t xml:space="preserve">covariate is </w:t>
      </w:r>
      <m:oMath>
        <m:r>
          <w:rPr>
            <w:rFonts w:ascii="Cambria Math" w:hAnsi="Cambria Math"/>
            <w:lang w:val="en-US"/>
          </w:rPr>
          <m:t xml:space="preserve">HR= </m:t>
        </m:r>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oMath>
      <w:r w:rsidRPr="0003165C">
        <w:rPr>
          <w:lang w:val="en-US"/>
        </w:rPr>
        <w:t xml:space="preserve"> so HR smaller than 1 correspond to lower</w:t>
      </w:r>
      <w:r>
        <w:rPr>
          <w:lang w:val="en-US"/>
        </w:rPr>
        <w:t xml:space="preserve"> </w:t>
      </w:r>
      <w:r w:rsidRPr="0003165C">
        <w:rPr>
          <w:lang w:val="en-US"/>
        </w:rPr>
        <w:t>risk and thus improved survival. Compute posterior summaries for the</w:t>
      </w:r>
    </w:p>
    <w:p w14:paraId="0FECB551" w14:textId="77777777" w:rsidR="00A410FF" w:rsidRDefault="00A410FF" w:rsidP="00A410FF">
      <w:pPr>
        <w:jc w:val="both"/>
        <w:rPr>
          <w:lang w:val="en-US"/>
        </w:rPr>
      </w:pPr>
      <w:r w:rsidRPr="0003165C">
        <w:rPr>
          <w:lang w:val="en-US"/>
        </w:rPr>
        <w:t>hazard ratios corresponding to all the covariates. Interpret the results.</w:t>
      </w:r>
    </w:p>
    <w:p w14:paraId="06F4A94A" w14:textId="77777777" w:rsidR="00A410FF" w:rsidRDefault="00A410FF" w:rsidP="00A410FF">
      <w:pPr>
        <w:jc w:val="both"/>
        <w:rPr>
          <w:lang w:val="en-US"/>
        </w:rPr>
      </w:pPr>
    </w:p>
    <w:p w14:paraId="730F2C95" w14:textId="77777777" w:rsidR="00A410FF" w:rsidRPr="00A7310F" w:rsidRDefault="00A410FF" w:rsidP="00A410FF">
      <w:pPr>
        <w:jc w:val="both"/>
        <w:rPr>
          <w:b/>
          <w:bCs/>
          <w:lang w:val="en-US"/>
        </w:rPr>
      </w:pPr>
      <w:r>
        <w:rPr>
          <w:b/>
          <w:bCs/>
          <w:lang w:val="en-US"/>
        </w:rPr>
        <w:t>Posterior summaries for the hazard ratios</w:t>
      </w:r>
    </w:p>
    <w:p w14:paraId="282E52E1" w14:textId="77777777" w:rsidR="00A410FF" w:rsidRDefault="00A410FF" w:rsidP="00A410FF">
      <w:pPr>
        <w:jc w:val="both"/>
        <w:rPr>
          <w:lang w:val="en-US" w:eastAsia="ja-JP"/>
        </w:rPr>
      </w:pPr>
    </w:p>
    <w:tbl>
      <w:tblPr>
        <w:tblStyle w:val="PlainTable1"/>
        <w:tblW w:w="9016" w:type="dxa"/>
        <w:jc w:val="center"/>
        <w:tblLook w:val="04A0" w:firstRow="1" w:lastRow="0" w:firstColumn="1" w:lastColumn="0" w:noHBand="0" w:noVBand="1"/>
      </w:tblPr>
      <w:tblGrid>
        <w:gridCol w:w="2386"/>
        <w:gridCol w:w="1009"/>
        <w:gridCol w:w="1261"/>
        <w:gridCol w:w="993"/>
        <w:gridCol w:w="3367"/>
      </w:tblGrid>
      <w:tr w:rsidR="00A410FF" w:rsidRPr="00231B54" w14:paraId="52EEB8B4"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E5A3B" w14:textId="77777777" w:rsidR="00A410FF" w:rsidRPr="00A564BA" w:rsidRDefault="00A410FF" w:rsidP="005125EA">
            <w:pPr>
              <w:jc w:val="center"/>
              <w:rPr>
                <w:szCs w:val="18"/>
              </w:rPr>
            </w:pPr>
            <w:r>
              <w:rPr>
                <w:szCs w:val="18"/>
              </w:rPr>
              <w:t>Covariate</w:t>
            </w:r>
          </w:p>
        </w:tc>
        <w:tc>
          <w:tcPr>
            <w:tcW w:w="0" w:type="auto"/>
            <w:vAlign w:val="center"/>
            <w:hideMark/>
          </w:tcPr>
          <w:p w14:paraId="514850C4"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Mean</w:t>
            </w:r>
          </w:p>
        </w:tc>
        <w:tc>
          <w:tcPr>
            <w:tcW w:w="0" w:type="auto"/>
            <w:vAlign w:val="center"/>
            <w:hideMark/>
          </w:tcPr>
          <w:p w14:paraId="5E4F460B"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 xml:space="preserve">Median </w:t>
            </w:r>
          </w:p>
        </w:tc>
        <w:tc>
          <w:tcPr>
            <w:tcW w:w="0" w:type="auto"/>
            <w:vAlign w:val="center"/>
          </w:tcPr>
          <w:p w14:paraId="223F01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SD</w:t>
            </w:r>
          </w:p>
        </w:tc>
        <w:tc>
          <w:tcPr>
            <w:tcW w:w="0" w:type="auto"/>
            <w:vAlign w:val="center"/>
            <w:hideMark/>
          </w:tcPr>
          <w:p w14:paraId="663679E2"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1294940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30B6EC" w14:textId="77777777" w:rsidR="00A410FF" w:rsidRPr="005B6FA3" w:rsidRDefault="00A410FF" w:rsidP="005125EA">
            <w:pPr>
              <w:jc w:val="center"/>
              <w:rPr>
                <w:b w:val="0"/>
                <w:bCs w:val="0"/>
              </w:rPr>
            </w:pPr>
            <w:r w:rsidRPr="005B6FA3">
              <w:rPr>
                <w:b w:val="0"/>
                <w:bCs w:val="0"/>
              </w:rPr>
              <w:t>treatment</w:t>
            </w:r>
          </w:p>
        </w:tc>
        <w:tc>
          <w:tcPr>
            <w:tcW w:w="0" w:type="auto"/>
            <w:vAlign w:val="center"/>
            <w:hideMark/>
          </w:tcPr>
          <w:p w14:paraId="06E633E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6B61AC">
              <w:t>1.298</w:t>
            </w:r>
          </w:p>
        </w:tc>
        <w:tc>
          <w:tcPr>
            <w:tcW w:w="0" w:type="auto"/>
            <w:vAlign w:val="center"/>
            <w:hideMark/>
          </w:tcPr>
          <w:p w14:paraId="4863142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1.265</w:t>
            </w:r>
          </w:p>
        </w:tc>
        <w:tc>
          <w:tcPr>
            <w:tcW w:w="0" w:type="auto"/>
            <w:vAlign w:val="center"/>
          </w:tcPr>
          <w:p w14:paraId="1C088B63"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0.282</w:t>
            </w:r>
          </w:p>
        </w:tc>
        <w:tc>
          <w:tcPr>
            <w:tcW w:w="0" w:type="auto"/>
            <w:vAlign w:val="center"/>
            <w:hideMark/>
          </w:tcPr>
          <w:p w14:paraId="0ED8146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t>0.845</w:t>
            </w:r>
            <w:r w:rsidRPr="00231B54">
              <w:t xml:space="preserve">, </w:t>
            </w:r>
            <w:r>
              <w:t>1.948</w:t>
            </w:r>
            <w:r w:rsidRPr="00231B54">
              <w:t>]</w:t>
            </w:r>
          </w:p>
        </w:tc>
      </w:tr>
      <w:tr w:rsidR="00A410FF" w:rsidRPr="00231B54" w14:paraId="778FD172"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FC91A" w14:textId="77777777" w:rsidR="00A410FF" w:rsidRPr="005B6FA3" w:rsidRDefault="00A410FF" w:rsidP="005125EA">
            <w:pPr>
              <w:jc w:val="center"/>
              <w:rPr>
                <w:b w:val="0"/>
                <w:bCs w:val="0"/>
                <w:lang w:val="en-US" w:eastAsia="ja-JP"/>
              </w:rPr>
            </w:pPr>
            <w:r w:rsidRPr="005B6FA3">
              <w:rPr>
                <w:b w:val="0"/>
                <w:bCs w:val="0"/>
              </w:rPr>
              <w:t>Karnofsky score</w:t>
            </w:r>
          </w:p>
        </w:tc>
        <w:tc>
          <w:tcPr>
            <w:tcW w:w="0" w:type="auto"/>
            <w:vAlign w:val="center"/>
            <w:hideMark/>
          </w:tcPr>
          <w:p w14:paraId="37D2CE40"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hideMark/>
          </w:tcPr>
          <w:p w14:paraId="2D3F44FE"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tcPr>
          <w:p w14:paraId="6F4692A5"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0.006</w:t>
            </w:r>
          </w:p>
        </w:tc>
        <w:tc>
          <w:tcPr>
            <w:tcW w:w="0" w:type="auto"/>
            <w:vAlign w:val="center"/>
            <w:hideMark/>
          </w:tcPr>
          <w:p w14:paraId="0174C3F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w:t>
            </w:r>
            <w:r>
              <w:t>0.955</w:t>
            </w:r>
            <w:r w:rsidRPr="00231B54">
              <w:t xml:space="preserve">, </w:t>
            </w:r>
            <w:r>
              <w:t>0.980</w:t>
            </w:r>
            <w:r w:rsidRPr="00231B54">
              <w:t>]</w:t>
            </w:r>
          </w:p>
        </w:tc>
      </w:tr>
      <w:tr w:rsidR="00A410FF" w:rsidRPr="00231B54" w14:paraId="6242A4B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2EB03" w14:textId="77777777" w:rsidR="00A410FF" w:rsidRPr="005B6FA3" w:rsidRDefault="00A410FF" w:rsidP="005125EA">
            <w:pPr>
              <w:jc w:val="center"/>
              <w:rPr>
                <w:b w:val="0"/>
                <w:bCs w:val="0"/>
              </w:rPr>
            </w:pPr>
            <w:r w:rsidRPr="005B6FA3">
              <w:rPr>
                <w:b w:val="0"/>
                <w:bCs w:val="0"/>
                <w:color w:val="000000"/>
              </w:rPr>
              <w:t>small-cell</w:t>
            </w:r>
          </w:p>
        </w:tc>
        <w:tc>
          <w:tcPr>
            <w:tcW w:w="0" w:type="auto"/>
            <w:vAlign w:val="center"/>
            <w:hideMark/>
          </w:tcPr>
          <w:p w14:paraId="64DECD58"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AC13A4">
              <w:t>2.68</w:t>
            </w:r>
            <w:r>
              <w:t>1</w:t>
            </w:r>
          </w:p>
        </w:tc>
        <w:tc>
          <w:tcPr>
            <w:tcW w:w="0" w:type="auto"/>
            <w:vAlign w:val="center"/>
            <w:hideMark/>
          </w:tcPr>
          <w:p w14:paraId="5278A17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2.529</w:t>
            </w:r>
          </w:p>
        </w:tc>
        <w:tc>
          <w:tcPr>
            <w:tcW w:w="0" w:type="auto"/>
            <w:vAlign w:val="center"/>
          </w:tcPr>
          <w:p w14:paraId="78D6BBF9"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0.874</w:t>
            </w:r>
          </w:p>
        </w:tc>
        <w:tc>
          <w:tcPr>
            <w:tcW w:w="0" w:type="auto"/>
            <w:vAlign w:val="center"/>
            <w:hideMark/>
          </w:tcPr>
          <w:p w14:paraId="60F641A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301832">
              <w:t>1.440</w:t>
            </w:r>
            <w:r w:rsidRPr="00231B54">
              <w:t xml:space="preserve">, </w:t>
            </w:r>
            <w:r w:rsidRPr="00301832">
              <w:t>4.741</w:t>
            </w:r>
            <w:r w:rsidRPr="00231B54">
              <w:t>]</w:t>
            </w:r>
          </w:p>
        </w:tc>
      </w:tr>
      <w:tr w:rsidR="00A410FF" w:rsidRPr="00231B54" w14:paraId="12194A81"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B6385B" w14:textId="77777777" w:rsidR="00A410FF" w:rsidRPr="005B6FA3" w:rsidRDefault="00A410FF" w:rsidP="005125EA">
            <w:pPr>
              <w:jc w:val="center"/>
              <w:rPr>
                <w:b w:val="0"/>
                <w:bCs w:val="0"/>
              </w:rPr>
            </w:pPr>
            <w:r w:rsidRPr="005B6FA3">
              <w:rPr>
                <w:b w:val="0"/>
                <w:bCs w:val="0"/>
                <w:color w:val="000000"/>
              </w:rPr>
              <w:t>adenocarcinoma</w:t>
            </w:r>
          </w:p>
        </w:tc>
        <w:tc>
          <w:tcPr>
            <w:tcW w:w="0" w:type="auto"/>
            <w:vAlign w:val="center"/>
            <w:hideMark/>
          </w:tcPr>
          <w:p w14:paraId="369CCB2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3.427</w:t>
            </w:r>
          </w:p>
        </w:tc>
        <w:tc>
          <w:tcPr>
            <w:tcW w:w="0" w:type="auto"/>
            <w:vAlign w:val="center"/>
            <w:hideMark/>
          </w:tcPr>
          <w:p w14:paraId="382A9E0A"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3.203</w:t>
            </w:r>
          </w:p>
        </w:tc>
        <w:tc>
          <w:tcPr>
            <w:tcW w:w="0" w:type="auto"/>
            <w:vAlign w:val="center"/>
          </w:tcPr>
          <w:p w14:paraId="55FDBDA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1.256</w:t>
            </w:r>
          </w:p>
        </w:tc>
        <w:tc>
          <w:tcPr>
            <w:tcW w:w="0" w:type="auto"/>
            <w:vAlign w:val="center"/>
            <w:hideMark/>
          </w:tcPr>
          <w:p w14:paraId="026259BD"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w:t>
            </w:r>
            <w:r w:rsidRPr="000A74AB">
              <w:t>1.694</w:t>
            </w:r>
            <w:r w:rsidRPr="00231B54">
              <w:t xml:space="preserve">, </w:t>
            </w:r>
            <w:r w:rsidRPr="000A74AB">
              <w:t>6.501</w:t>
            </w:r>
            <w:r w:rsidRPr="00231B54">
              <w:t>]</w:t>
            </w:r>
          </w:p>
        </w:tc>
      </w:tr>
      <w:tr w:rsidR="00A410FF" w:rsidRPr="00231B54" w14:paraId="0504A311"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BFC19" w14:textId="77777777" w:rsidR="00A410FF" w:rsidRPr="005B6FA3" w:rsidRDefault="00A410FF" w:rsidP="005125EA">
            <w:pPr>
              <w:jc w:val="center"/>
              <w:rPr>
                <w:b w:val="0"/>
                <w:bCs w:val="0"/>
              </w:rPr>
            </w:pPr>
            <w:r w:rsidRPr="005B6FA3">
              <w:rPr>
                <w:b w:val="0"/>
                <w:bCs w:val="0"/>
                <w:color w:val="000000"/>
              </w:rPr>
              <w:t>Large-cell</w:t>
            </w:r>
          </w:p>
        </w:tc>
        <w:tc>
          <w:tcPr>
            <w:tcW w:w="0" w:type="auto"/>
            <w:vAlign w:val="center"/>
            <w:hideMark/>
          </w:tcPr>
          <w:p w14:paraId="511335A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1.513</w:t>
            </w:r>
          </w:p>
        </w:tc>
        <w:tc>
          <w:tcPr>
            <w:tcW w:w="0" w:type="auto"/>
            <w:vAlign w:val="center"/>
            <w:hideMark/>
          </w:tcPr>
          <w:p w14:paraId="68FD46B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1.438</w:t>
            </w:r>
          </w:p>
        </w:tc>
        <w:tc>
          <w:tcPr>
            <w:tcW w:w="0" w:type="auto"/>
            <w:vAlign w:val="center"/>
          </w:tcPr>
          <w:p w14:paraId="578EC38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0.475</w:t>
            </w:r>
          </w:p>
        </w:tc>
        <w:tc>
          <w:tcPr>
            <w:tcW w:w="0" w:type="auto"/>
            <w:vAlign w:val="center"/>
            <w:hideMark/>
          </w:tcPr>
          <w:p w14:paraId="1AF0053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9951A6">
              <w:t>0.803</w:t>
            </w:r>
            <w:r w:rsidRPr="00231B54">
              <w:t xml:space="preserve">, </w:t>
            </w:r>
            <w:r w:rsidRPr="009951A6">
              <w:t>2.649</w:t>
            </w:r>
            <w:r w:rsidRPr="00231B54">
              <w:t>]</w:t>
            </w:r>
          </w:p>
        </w:tc>
      </w:tr>
    </w:tbl>
    <w:p w14:paraId="1DF06A5E" w14:textId="77777777" w:rsidR="00A410FF" w:rsidRDefault="00A410FF" w:rsidP="00A410FF">
      <w:pPr>
        <w:jc w:val="both"/>
        <w:rPr>
          <w:lang w:val="en-US" w:eastAsia="ja-JP"/>
        </w:rPr>
      </w:pPr>
    </w:p>
    <w:p w14:paraId="2B2D4B8D" w14:textId="77777777" w:rsidR="00A410FF" w:rsidRDefault="00A410FF" w:rsidP="00A410FF">
      <w:pPr>
        <w:jc w:val="both"/>
        <w:rPr>
          <w:lang w:val="en-US" w:eastAsia="ja-JP"/>
        </w:rPr>
      </w:pPr>
      <w:r w:rsidRPr="32C9D305">
        <w:rPr>
          <w:lang w:val="en-US" w:eastAsia="ja-JP"/>
        </w:rPr>
        <w:t>Since the reference category for the treatment variable (</w:t>
      </w:r>
      <w:proofErr w:type="spellStart"/>
      <w:r w:rsidRPr="32C9D305">
        <w:rPr>
          <w:lang w:val="en-US" w:eastAsia="ja-JP"/>
        </w:rPr>
        <w:t>trt</w:t>
      </w:r>
      <w:proofErr w:type="spellEnd"/>
      <w:r w:rsidRPr="32C9D305">
        <w:rPr>
          <w:lang w:val="en-US" w:eastAsia="ja-JP"/>
        </w:rPr>
        <w:t>) is standard therapy, the results indicate that patients who received the test chemotherapy had an approximately 30% higher hazard of death compared with those receiving the standard treatment. However, since the 95% credible interval contains 1, the evidence for a treatment effect is inconclusive.</w:t>
      </w:r>
    </w:p>
    <w:p w14:paraId="03B82AEE" w14:textId="77777777" w:rsidR="00A410FF" w:rsidRPr="00A96390" w:rsidRDefault="00A410FF" w:rsidP="00A410FF">
      <w:pPr>
        <w:jc w:val="both"/>
        <w:rPr>
          <w:lang w:eastAsia="ja-JP"/>
        </w:rPr>
      </w:pPr>
    </w:p>
    <w:p w14:paraId="4B53A39C" w14:textId="77777777" w:rsidR="00A410FF" w:rsidRDefault="00A410FF" w:rsidP="00A410FF">
      <w:pPr>
        <w:jc w:val="both"/>
        <w:rPr>
          <w:lang w:val="en-US" w:eastAsia="ja-JP"/>
        </w:rPr>
      </w:pPr>
      <w:r w:rsidRPr="32C9D305">
        <w:rPr>
          <w:lang w:val="en-US" w:eastAsia="ja-JP"/>
        </w:rPr>
        <w:t>The result also indicates that when Karnofsky score increases by one point, the hazard of death decreases approximately by 3.3%. Since the 95% credible interval does not include 1, this suggests a clear association between better performance status and improved survival.</w:t>
      </w:r>
    </w:p>
    <w:p w14:paraId="62B86585" w14:textId="77777777" w:rsidR="00A410FF" w:rsidRPr="00DF27D1" w:rsidRDefault="00A410FF" w:rsidP="00A410FF">
      <w:pPr>
        <w:jc w:val="both"/>
        <w:rPr>
          <w:lang w:eastAsia="ja-JP"/>
        </w:rPr>
      </w:pPr>
    </w:p>
    <w:p w14:paraId="571B94F4" w14:textId="77777777" w:rsidR="00A410FF" w:rsidRPr="00CF4F81" w:rsidRDefault="00A410FF" w:rsidP="00A410FF">
      <w:pPr>
        <w:jc w:val="both"/>
        <w:rPr>
          <w:lang w:val="en-US" w:eastAsia="ja-JP"/>
        </w:rPr>
      </w:pPr>
      <w:r w:rsidRPr="32C9D305">
        <w:rPr>
          <w:lang w:val="en-US" w:eastAsia="ja-JP"/>
        </w:rPr>
        <w:t>The reference category for the tumor cell type variable (</w:t>
      </w:r>
      <w:proofErr w:type="spellStart"/>
      <w:r w:rsidRPr="32C9D305">
        <w:rPr>
          <w:lang w:val="en-US" w:eastAsia="ja-JP"/>
        </w:rPr>
        <w:t>celltype</w:t>
      </w:r>
      <w:proofErr w:type="spellEnd"/>
      <w:r w:rsidRPr="32C9D305">
        <w:rPr>
          <w:lang w:val="en-US" w:eastAsia="ja-JP"/>
        </w:rPr>
        <w:t>) is squamous. Compared with patients with squamous tumors, those with small-cell tumors and those with adenocarcinoma have an approximately 2.7 times and 3.4 times higher hazard of death, respectively. For patients with large-cell tumors, the posterior mean suggests a hazard approximately 50% higher than that of the reference group. However, since the 95% credible interval includes 1, the evidence for this effect is inconclusive.</w:t>
      </w:r>
    </w:p>
    <w:p w14:paraId="18B98F47" w14:textId="77777777" w:rsidR="00A410FF" w:rsidRDefault="00A410FF">
      <w:pPr>
        <w:spacing w:after="140"/>
      </w:pPr>
    </w:p>
    <w:sectPr w:rsidR="00A410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6073"/>
    <w:multiLevelType w:val="hybridMultilevel"/>
    <w:tmpl w:val="F17E1E0C"/>
    <w:lvl w:ilvl="0" w:tplc="F908385A">
      <w:start w:val="1"/>
      <w:numFmt w:val="bullet"/>
      <w:lvlText w:val="●"/>
      <w:lvlJc w:val="left"/>
      <w:pPr>
        <w:ind w:left="720" w:hanging="360"/>
      </w:pPr>
    </w:lvl>
    <w:lvl w:ilvl="1" w:tplc="571638DA">
      <w:start w:val="1"/>
      <w:numFmt w:val="bullet"/>
      <w:lvlText w:val="○"/>
      <w:lvlJc w:val="left"/>
      <w:pPr>
        <w:ind w:left="1440" w:hanging="360"/>
      </w:pPr>
    </w:lvl>
    <w:lvl w:ilvl="2" w:tplc="6AB6313A">
      <w:start w:val="1"/>
      <w:numFmt w:val="bullet"/>
      <w:lvlText w:val="■"/>
      <w:lvlJc w:val="left"/>
      <w:pPr>
        <w:ind w:left="2160" w:hanging="360"/>
      </w:pPr>
    </w:lvl>
    <w:lvl w:ilvl="3" w:tplc="CACC99DC">
      <w:start w:val="1"/>
      <w:numFmt w:val="bullet"/>
      <w:lvlText w:val="●"/>
      <w:lvlJc w:val="left"/>
      <w:pPr>
        <w:ind w:left="2880" w:hanging="360"/>
      </w:pPr>
    </w:lvl>
    <w:lvl w:ilvl="4" w:tplc="18DAC7F0">
      <w:start w:val="1"/>
      <w:numFmt w:val="bullet"/>
      <w:lvlText w:val="○"/>
      <w:lvlJc w:val="left"/>
      <w:pPr>
        <w:ind w:left="3600" w:hanging="360"/>
      </w:pPr>
    </w:lvl>
    <w:lvl w:ilvl="5" w:tplc="C73AA6C6">
      <w:start w:val="1"/>
      <w:numFmt w:val="bullet"/>
      <w:lvlText w:val="■"/>
      <w:lvlJc w:val="left"/>
      <w:pPr>
        <w:ind w:left="4320" w:hanging="360"/>
      </w:pPr>
    </w:lvl>
    <w:lvl w:ilvl="6" w:tplc="A5A40FFE">
      <w:start w:val="1"/>
      <w:numFmt w:val="bullet"/>
      <w:lvlText w:val="●"/>
      <w:lvlJc w:val="left"/>
      <w:pPr>
        <w:ind w:left="5040" w:hanging="360"/>
      </w:pPr>
    </w:lvl>
    <w:lvl w:ilvl="7" w:tplc="D12AE7DA">
      <w:start w:val="1"/>
      <w:numFmt w:val="bullet"/>
      <w:lvlText w:val="●"/>
      <w:lvlJc w:val="left"/>
      <w:pPr>
        <w:ind w:left="5760" w:hanging="360"/>
      </w:pPr>
    </w:lvl>
    <w:lvl w:ilvl="8" w:tplc="508ECBC8">
      <w:start w:val="1"/>
      <w:numFmt w:val="bullet"/>
      <w:lvlText w:val="●"/>
      <w:lvlJc w:val="left"/>
      <w:pPr>
        <w:ind w:left="6480" w:hanging="360"/>
      </w:pPr>
    </w:lvl>
  </w:abstractNum>
  <w:abstractNum w:abstractNumId="1" w15:restartNumberingAfterBreak="0">
    <w:nsid w:val="22B241DF"/>
    <w:multiLevelType w:val="hybridMultilevel"/>
    <w:tmpl w:val="8090A300"/>
    <w:lvl w:ilvl="0" w:tplc="BDA644E2">
      <w:start w:val="1"/>
      <w:numFmt w:val="bullet"/>
      <w:lvlText w:val="•"/>
      <w:lvlJc w:val="left"/>
      <w:pPr>
        <w:ind w:left="720" w:hanging="360"/>
      </w:pPr>
    </w:lvl>
    <w:lvl w:ilvl="1" w:tplc="26109996">
      <w:numFmt w:val="decimal"/>
      <w:lvlText w:val=""/>
      <w:lvlJc w:val="left"/>
    </w:lvl>
    <w:lvl w:ilvl="2" w:tplc="838E4A0C">
      <w:numFmt w:val="decimal"/>
      <w:lvlText w:val=""/>
      <w:lvlJc w:val="left"/>
    </w:lvl>
    <w:lvl w:ilvl="3" w:tplc="17C2AFEA">
      <w:numFmt w:val="decimal"/>
      <w:lvlText w:val=""/>
      <w:lvlJc w:val="left"/>
    </w:lvl>
    <w:lvl w:ilvl="4" w:tplc="3FC276BA">
      <w:numFmt w:val="decimal"/>
      <w:lvlText w:val=""/>
      <w:lvlJc w:val="left"/>
    </w:lvl>
    <w:lvl w:ilvl="5" w:tplc="2368CAFE">
      <w:numFmt w:val="decimal"/>
      <w:lvlText w:val=""/>
      <w:lvlJc w:val="left"/>
    </w:lvl>
    <w:lvl w:ilvl="6" w:tplc="1E1443E4">
      <w:numFmt w:val="decimal"/>
      <w:lvlText w:val=""/>
      <w:lvlJc w:val="left"/>
    </w:lvl>
    <w:lvl w:ilvl="7" w:tplc="032C0644">
      <w:numFmt w:val="decimal"/>
      <w:lvlText w:val=""/>
      <w:lvlJc w:val="left"/>
    </w:lvl>
    <w:lvl w:ilvl="8" w:tplc="C902DF00">
      <w:numFmt w:val="decimal"/>
      <w:lvlText w:val=""/>
      <w:lvlJc w:val="left"/>
    </w:lvl>
  </w:abstractNum>
  <w:abstractNum w:abstractNumId="2" w15:restartNumberingAfterBreak="0">
    <w:nsid w:val="7D433786"/>
    <w:multiLevelType w:val="hybridMultilevel"/>
    <w:tmpl w:val="B6546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8835157">
    <w:abstractNumId w:val="0"/>
    <w:lvlOverride w:ilvl="0">
      <w:startOverride w:val="1"/>
    </w:lvlOverride>
  </w:num>
  <w:num w:numId="2" w16cid:durableId="395249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5E"/>
    <w:rsid w:val="0003556C"/>
    <w:rsid w:val="000A2EA6"/>
    <w:rsid w:val="00372D72"/>
    <w:rsid w:val="004A402A"/>
    <w:rsid w:val="00733497"/>
    <w:rsid w:val="00A410FF"/>
    <w:rsid w:val="00A63116"/>
    <w:rsid w:val="00D30B5E"/>
    <w:rsid w:val="00F53FE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18D4"/>
  <w15:docId w15:val="{55394C69-30E8-CD4E-8B5C-9CF4F853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3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3F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3FE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3FE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53F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53FE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3FE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3">
    <w:name w:val="List Table 3"/>
    <w:basedOn w:val="TableNormal"/>
    <w:uiPriority w:val="48"/>
    <w:rsid w:val="00F53FE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3FE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3">
    <w:name w:val="Plain Table 3"/>
    <w:basedOn w:val="TableNormal"/>
    <w:uiPriority w:val="43"/>
    <w:rsid w:val="00F53F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3F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3FE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F53FE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3FE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Gupta</cp:lastModifiedBy>
  <cp:revision>5</cp:revision>
  <dcterms:created xsi:type="dcterms:W3CDTF">2026-05-18T10:06:00Z</dcterms:created>
  <dcterms:modified xsi:type="dcterms:W3CDTF">2026-05-31T14:44:00Z</dcterms:modified>
</cp:coreProperties>
</file>