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青县设施蔬菜：视觉、环境与风险研判链路设计</w:t>
      </w:r>
    </w:p>
    <w:p>
      <w:pPr>
        <w:pStyle w:val="Heading1"/>
      </w:pPr>
      <w:r>
        <w:t>实施边界</w:t>
      </w:r>
    </w:p>
    <w:p>
      <w:r>
        <w:t>现阶段只接入 ai-service 的知识图谱页面及右侧问答。其他数字工作台、监控界面、风险中心、硬件控制和非 ai-service 文件夹均不在本次修改范围。下述视觉与传感器链路为后续设计，未宣称已运行。</w:t>
      </w:r>
    </w:p>
    <w:p>
      <w:pPr>
        <w:pStyle w:val="Heading1"/>
      </w:pPr>
      <w:r>
        <w:t>已实现链路</w:t>
      </w:r>
    </w:p>
    <w:p>
      <w:r>
        <w:t>用户明确作物和问题 → 上下文对象 → 作物限定症状节点与KG候选 → 规则排序 → Neo4j图谱检索 + 本地BGE向量检索 → 原文证据融合 → 现有DeepSeek生成 → citation检查 → grounding核查 → 当前图谱页面AI问答。API为POST /api/qingxian/ask。</w:t>
      </w:r>
    </w:p>
    <w:p>
      <w:pPr>
        <w:pStyle w:val="Heading1"/>
      </w:pPr>
      <w:r>
        <w:t>后续视觉接入</w:t>
      </w:r>
    </w:p>
    <w:p>
      <w:r>
        <w:t>训练并验证独立黄瓜/番茄模型后，将视觉标签映射到症状观测，不将鸭梨模型复用于蔬菜。保存model_version、crop、organ、symptom、confidence、image_id。置信度仅描述视觉分类，不是疾病概率。照片来源与模型版本须可回溯。</w:t>
      </w:r>
    </w:p>
    <w:p>
      <w:pPr>
        <w:pStyle w:val="Heading1"/>
      </w:pPr>
      <w:r>
        <w:t>后续传感器接入</w:t>
      </w:r>
    </w:p>
    <w:p>
      <w:r>
        <w:t>读取现有监测系统的授权只读接口。每个测量含value、unit、observed_at、device_id、plot_id、quality_flag、calibration_version。空气温度℃、空气相对湿度%、土壤含水率及测量口径分别存储；土壤湿度不得冒充空气湿度。EC保存原始单位，统一转换须记录公式；光照区分lux与PAR，不能直接互换。过期、缺失、异常读数保留None或显式质量标记。</w:t>
      </w:r>
    </w:p>
    <w:p>
      <w:pPr>
        <w:pStyle w:val="Heading1"/>
      </w:pPr>
      <w:r>
        <w:t>上下文融合</w:t>
      </w:r>
    </w:p>
    <w:p>
      <w:r>
        <w:t>用户选择种植地和棚室后关联设备；电脑定位只作候选地址，不能推断实际种植地。用户填写、设备实测、视觉观测来源分开。生育期、茬口、器官不从疾病名称补造。温湿度阈值必须绑定作物、茬口、阶段、原文条款及单位。</w:t>
      </w:r>
    </w:p>
    <w:p>
      <w:pPr>
        <w:pStyle w:val="Heading1"/>
      </w:pPr>
      <w:r>
        <w:t>证据和风险边界</w:t>
      </w:r>
    </w:p>
    <w:p>
      <w:r>
        <w:t>保留local_verified、hebei_verified、general_authoritative、transfer_pending、fulltext_required。异地资料用于审核后的候选比较，不能变成本地处方。当地资料不足时保留insufficient_evidence并输出有依据的初步研判；无引用的事实不发布。不输出未经审核的药剂剂量，不执行自动灌溉或施药。</w:t>
      </w:r>
    </w:p>
    <w:p>
      <w:pPr>
        <w:pStyle w:val="Heading1"/>
      </w:pPr>
      <w:r>
        <w:t>未来接口与页面设计</w:t>
      </w:r>
    </w:p>
    <w:p>
      <w:r>
        <w:t>建议新增独立观测提交接口，接收image_id及sensor_snapshot_id，由后端读取可信原始记录；最终响应包含observations、context、candidate_risks、evidence、citations、grounding、uncertainties。该接口目前未实现。以后监控界面仅链接到风险详情，详情显示观察、候选和需补充信息；论文依据默认折叠。跨页面修改须另行授权。</w:t>
      </w:r>
    </w:p>
    <w:p>
      <w:pPr>
        <w:pStyle w:val="Heading1"/>
      </w:pPr>
      <w:r>
        <w:t>验收计划</w:t>
      </w:r>
    </w:p>
    <w:p>
      <w:r>
        <w:t>一：明确作物、缺失信息None、跨作物隔离。二：环境单位、时效、来源验证。三：真实图片+传感器快照+双路检索+生成核查，保存每阶段结果。四：无证据或核查失败应拒绝对应事实，不能靠降低grounding门槛通过。五：回归既有鸭梨、旱碱麦、金丝枣路由。</w:t>
      </w:r>
    </w:p>
    <w:p>
      <w:pPr>
        <w:pStyle w:val="Heading1"/>
      </w:pPr>
      <w:r>
        <w:t>后续本地大模型</w:t>
      </w:r>
    </w:p>
    <w:p>
      <w:r>
        <w:t>保留检索、证据融合、引用校验和上下文契约。未来以兼容接口替换生成与核查服务，并单独验证千问的结构化输出、引用遵循和核查能力；不能只替换生成服务却遗漏grounding当前依赖DeepSeek。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