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盐田丰语 Jetson 展示版产品文档</w:t>
      </w:r>
    </w:p>
    <w:p>
      <w:r>
        <w:t>版本 0.2 部署候选</w:t>
      </w:r>
    </w:p>
    <w:p>
      <w:r>
        <w:t>编制日期 2026年10月3日</w:t>
      </w:r>
    </w:p>
    <w:p>
      <w:r>
        <w:t>适用对象 展示负责人 软件开发人员 设备集成人员</w:t>
      </w:r>
    </w:p>
    <w:p>
      <w:r>
        <w:t>本产品把农业数据工作台、可追溯业务记录、具备工具调用能力的 Agent、梨叶候选症状检测和植物园 3D 空间集成在同一应用中。当前目标是用一台 Jetson 和浏览器完成稳定的软件展示。数据与设备动作采用演示模式，不依赖真实传感器，也不把模拟回执当作现实执行证明。</w:t>
      </w:r>
    </w:p>
    <w:p>
      <w:r>
        <w:t>展示版选择 Jetson Orin Nano Super 8GB、主动散热和 NVMe SSD。Jetson 承担服务和本地推理，优先由独立电脑浏览器展示 3D。代码已加入边缘部署与 TensorRT 路径；当前验证来自 Windows CPU 环境，Jetson GPU 和本地 Qwen3 的性能尚待实机验收。</w:t>
      </w:r>
    </w:p>
    <w:p>
      <w:pPr>
        <w:pStyle w:val="Heading1"/>
      </w:pPr>
      <w:r>
        <w:t>产品定位与用户</w:t>
      </w:r>
    </w:p>
    <w:p>
      <w:r>
        <w:t>主要用户是项目讲解人员、评审与参观人员。讲解人员需要在有限时间内演示从观测、查询、业务记录到视觉复核的完整链路；参观人员需要看到明确的数据来源和任务状态。软件开发及设备集成人员负责配置运行环境、管理版本和执行验收。</w:t>
      </w:r>
    </w:p>
    <w:p>
      <w:r>
        <w:t>展示版保留原工作台切换与工作面板，业务模块采用统一侧栏。将智能问农和数据工作台放在同一基地上下文中，便于从场景对象进入任务，再回到记录查看依据。</w:t>
      </w:r>
    </w:p>
    <w:p>
      <w:pPr>
        <w:pStyle w:val="Heading1"/>
      </w:pPr>
      <w:r>
        <w:t>功能范围与边界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1944"/>
            <w:vAlign w:val="center"/>
            <w:shd w:fill="E8EE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type="dxa" w:w="4536"/>
            <w:vAlign w:val="center"/>
            <w:shd w:fill="E8EE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/>
                <w:sz w:val="18"/>
              </w:rPr>
              <w:t>当前能力</w:t>
            </w:r>
          </w:p>
        </w:tc>
        <w:tc>
          <w:tcPr>
            <w:tcW w:type="dxa" w:w="3600"/>
            <w:vAlign w:val="center"/>
            <w:shd w:fill="E8EE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/>
                <w:sz w:val="18"/>
              </w:rPr>
              <w:t>展示边界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数据与墒情</w:t>
            </w:r>
          </w:p>
        </w:tc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概览 观测历史 地块及阈值核验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使用演示观测 不承诺真实测量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7F8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设施与灌排</w:t>
            </w:r>
          </w:p>
        </w:tc>
        <w:tc>
          <w:tcPr>
            <w:tcW w:type="dxa" w:w="4536"/>
            <w:vAlign w:val="center"/>
            <w:shd w:fill="F7F8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软件控制状态 回执与告警恢复</w:t>
            </w:r>
          </w:p>
        </w:tc>
        <w:tc>
          <w:tcPr>
            <w:tcW w:type="dxa" w:w="3600"/>
            <w:vAlign w:val="center"/>
            <w:shd w:fill="F7F8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不操作真实设备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种植与采后</w:t>
            </w:r>
          </w:p>
        </w:tc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农事 生长 批次登记和流转追溯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数量与状态由软件登记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7F8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告警</w:t>
            </w:r>
          </w:p>
        </w:tc>
        <w:tc>
          <w:tcPr>
            <w:tcW w:type="dxa" w:w="4536"/>
            <w:vAlign w:val="center"/>
            <w:shd w:fill="F7F8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查看及处理 保存处置记录</w:t>
            </w:r>
          </w:p>
        </w:tc>
        <w:tc>
          <w:tcPr>
            <w:tcW w:type="dxa" w:w="3600"/>
            <w:vAlign w:val="center"/>
            <w:shd w:fill="F7F8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规则告警不是诊断结论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智能问农</w:t>
            </w:r>
          </w:p>
        </w:tc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工具查询 资料检索 任务追问与重试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只读工具 不自主创建业务动作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7F8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视觉检测</w:t>
            </w:r>
          </w:p>
        </w:tc>
        <w:tc>
          <w:tcPr>
            <w:tcW w:type="dxa" w:w="4536"/>
            <w:vAlign w:val="center"/>
            <w:shd w:fill="F7F8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上传和摄像头采样 候选框 历史及人工复核</w:t>
            </w:r>
          </w:p>
        </w:tc>
        <w:tc>
          <w:tcPr>
            <w:tcW w:type="dxa" w:w="3600"/>
            <w:vAlign w:val="center"/>
            <w:shd w:fill="F7F8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梨叶近照症状 不能确诊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3D 空间</w:t>
            </w:r>
          </w:p>
        </w:tc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植物园园景 地块对象 导览与漫游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概念坐标 不是真实 GIS 测绘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7F8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运维</w:t>
            </w:r>
          </w:p>
        </w:tc>
        <w:tc>
          <w:tcPr>
            <w:tcW w:type="dxa" w:w="4536"/>
            <w:vAlign w:val="center"/>
            <w:shd w:fill="F7F8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诊断 开机服务 发行清单 备份脚本</w:t>
            </w:r>
          </w:p>
        </w:tc>
        <w:tc>
          <w:tcPr>
            <w:tcW w:type="dxa" w:w="3600"/>
            <w:vAlign w:val="center"/>
            <w:shd w:fill="F7F8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尚未达到工业整机交付标准</w:t>
            </w:r>
          </w:p>
        </w:tc>
      </w:tr>
    </w:tbl>
    <w:p>
      <w:pPr>
        <w:spacing w:after="0"/>
      </w:pPr>
    </w:p>
    <w:p>
      <w:pPr>
        <w:pStyle w:val="Heading1"/>
      </w:pPr>
      <w:r>
        <w:t>关键展示流程</w:t>
      </w:r>
    </w:p>
    <w:p>
      <w:r>
        <w:t>建议按六到八分钟的顺序展示。先在数据工作台选择鸭梨基地，查看墒情、设备与告警，说明数据为软件演示。再进入种植登记农事或生长观察，创建一条采后批次并推进采收、分选、入库和出库，刷新页面确认追溯记录仍在。</w:t>
      </w:r>
    </w:p>
    <w:p>
      <w:r>
        <w:t>随后切换智能问农，提出查询已保存采后批次的任务。界面展示计划、工具过程、检索依据和答案；批次回答需包含数据库编号与状态。可以继续追问或导出任务记录。Agent 输出不能声称已经控制设备或完成现实作业。</w:t>
      </w:r>
    </w:p>
    <w:p>
      <w:r>
        <w:t>接着进入独立病虫害功能，上传固定梨叶样本或打开网页摄像头，进行单次及连续采样。展示候选框、置信度、原图和人工复核记录。最后进入植物园 3D，完成导览、漫游、对象选择和视图切换，返回工作台导出记录。</w:t>
      </w:r>
    </w:p>
    <w:p>
      <w:pPr>
        <w:pStyle w:val="Heading1"/>
      </w:pPr>
      <w:r>
        <w:t>展示设备选型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1944"/>
            <w:vAlign w:val="center"/>
            <w:shd w:fill="E8EE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/>
                <w:sz w:val="18"/>
              </w:rPr>
              <w:t>部件</w:t>
            </w:r>
          </w:p>
        </w:tc>
        <w:tc>
          <w:tcPr>
            <w:tcW w:type="dxa" w:w="4536"/>
            <w:vAlign w:val="center"/>
            <w:shd w:fill="E8EE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/>
                <w:sz w:val="18"/>
              </w:rPr>
              <w:t>展示配置</w:t>
            </w:r>
          </w:p>
        </w:tc>
        <w:tc>
          <w:tcPr>
            <w:tcW w:type="dxa" w:w="3600"/>
            <w:vAlign w:val="center"/>
            <w:shd w:fill="E8EE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/>
                <w:sz w:val="18"/>
              </w:rPr>
              <w:t>选择原因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主机</w:t>
            </w:r>
          </w:p>
        </w:tc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Orin Nano Super 8GB 开发套件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满足展示优先的成本与体积目标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7F8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存储</w:t>
            </w:r>
          </w:p>
        </w:tc>
        <w:tc>
          <w:tcPr>
            <w:tcW w:type="dxa" w:w="4536"/>
            <w:vAlign w:val="center"/>
            <w:shd w:fill="F7F8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256GB NVMe SSD</w:t>
            </w:r>
          </w:p>
        </w:tc>
        <w:tc>
          <w:tcPr>
            <w:tcW w:type="dxa" w:w="3600"/>
            <w:vAlign w:val="center"/>
            <w:shd w:fill="F7F8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保存模型 依赖 数据与版本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电源与散热</w:t>
            </w:r>
          </w:p>
        </w:tc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原装电源及主动散热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长时间展示需要稳定供电和散热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7F8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页面客户端</w:t>
            </w:r>
          </w:p>
        </w:tc>
        <w:tc>
          <w:tcPr>
            <w:tcW w:type="dxa" w:w="4536"/>
            <w:vAlign w:val="center"/>
            <w:shd w:fill="F7F8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笔记本或台式机浏览器</w:t>
            </w:r>
          </w:p>
        </w:tc>
        <w:tc>
          <w:tcPr>
            <w:tcW w:type="dxa" w:w="3600"/>
            <w:vAlign w:val="center"/>
            <w:shd w:fill="F7F8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降低 Jetson 上 3D 与推理资源竞争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摄像头</w:t>
            </w:r>
          </w:p>
        </w:tc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页面客户端摄像头或 USB 摄像头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对应当前网页采样链路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7F8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网络</w:t>
            </w:r>
          </w:p>
        </w:tc>
        <w:tc>
          <w:tcPr>
            <w:tcW w:type="dxa" w:w="4536"/>
            <w:vAlign w:val="center"/>
            <w:shd w:fill="F7F8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局域网及可信 HTTPS</w:t>
            </w:r>
          </w:p>
        </w:tc>
        <w:tc>
          <w:tcPr>
            <w:tcW w:type="dxa" w:w="3600"/>
            <w:vAlign w:val="center"/>
            <w:shd w:fill="F7F8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远端浏览器摄像头需要安全上下文</w:t>
            </w:r>
          </w:p>
        </w:tc>
      </w:tr>
    </w:tbl>
    <w:p>
      <w:pPr>
        <w:spacing w:after="0"/>
      </w:pPr>
    </w:p>
    <w:p>
      <w:r>
        <w:t>该配置是工程选型，尚无整机报价、功耗或帧率承诺。Jetson 的共享内存需要同时容纳操作系统、数据库、Java、视觉与大模型，因此默认仅允许一个 Agent 任务执行。暂不采用多路视频、多个大模型或本地 7B 以上模型作为展示基线。</w:t>
      </w:r>
    </w:p>
    <w:p>
      <w:pPr>
        <w:pStyle w:val="Heading1"/>
      </w:pPr>
      <w:r>
        <w:t>模型与计算方案</w:t>
      </w:r>
    </w:p>
    <w:p>
      <w:r>
        <w:t>视觉路径共用图像质量检查、letterbox 预处理和类别 NMS。Windows 使用 ONNX Runtime CPU，Jetson 选择 TensorRT FP16。常驻 Python 进程复用模型、CUDA 缓冲区和流，减少连续采样中的重复加载。前后处理仍由 CPU 执行，没有把整条链路宣称为全 GPU 或零拷贝。</w:t>
      </w:r>
    </w:p>
    <w:p>
      <w:r>
        <w:t>本地 Agent 基线为 Qwen3 4B Q4_K_M，使用 llama.cpp CUDA 服务和官方 DeepSeek Harness。默认上下文 4096 token、单次输出 512 token、关闭长思考。工具包括农场上下文、环境分析、资料检索、业务记录和视觉记录。边缘配置精简地图几何与资料片段，完整工具结果仍保存在任务记录中。也可以改成 OpenAI 兼容的远端服务，保留原 Qwen2.5 配置。</w:t>
      </w:r>
    </w:p>
    <w:p>
      <w:r>
        <w:t>JetPack 6.2.1 基线和计算版本依据 NVIDIA 发布说明。Qwen 量化文件来自官方 GGUF 仓库，固定版本并校验哈希。TensorRT 引擎在目标板生成并检查来源模型与运行版本，不把桌面生成物直接复制到板端。</w:t>
      </w:r>
    </w:p>
    <w:p>
      <w:pPr>
        <w:pStyle w:val="Heading1"/>
      </w:pPr>
      <w:r>
        <w:t>记录与权限</w:t>
      </w:r>
    </w:p>
    <w:p>
      <w:r>
        <w:t>登录账号使用 JWT 和密码哈希。视觉原图、结果与复核按用户隔离；任务查询和工具读取验证用户与基地。农事、批次及工作台属于共享展示基地，不支持企业租户隔离，不应存放多个客户的私有生产数据。</w:t>
      </w:r>
    </w:p>
    <w:p>
      <w:r>
        <w:t>业务记录保存于 MySQL，图像、模型与运行文件单独持久化。批次只允许按既定顺序推进，复核追加记录并保留原始结果。任务重试创建新任务，历史结果不覆盖。发行包排除用户数据和密钥。</w:t>
      </w:r>
    </w:p>
    <w:p>
      <w:pPr>
        <w:pStyle w:val="Heading1"/>
      </w:pPr>
      <w:r>
        <w:t>部署与使用</w:t>
      </w:r>
    </w:p>
    <w:p>
      <w:r>
        <w:t>交付物包括 Java 静态页面发行包、Harness 源码与依赖锁、ONNX 模型、板端安装和 systemd 服务脚本、配置示例、SHA 256 清单及部署验收手册。首次安装需要网络获取依赖和本地大模型；准备完成后核心展示使用本地服务。</w:t>
      </w:r>
    </w:p>
    <w:p>
      <w:r>
        <w:t>部署人员先刷写指定 JetPack，再安装运行依赖、生成随机密钥、在板端编译 llama.cpp 和 TensorRT 引擎，启动数据库及两个服务。首次创建展示账号后可以关闭公开注册。局域网访问由 Nginx 提供可信 HTTPS，数据库与模型端口仅监听回环。</w:t>
      </w:r>
    </w:p>
    <w:p>
      <w:r>
        <w:t>日常使用前确认软件环境诊断与样例任务通过。使用后备份数据库和视觉原图，单独保管密钥。升级保留旧发行版本，先备份，再切换版本；数据库结构回退须恢复匹配快照，不能只切换 JAR。</w:t>
      </w:r>
    </w:p>
    <w:p>
      <w:pPr>
        <w:pStyle w:val="Heading1"/>
      </w:pPr>
      <w:r>
        <w:t>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1944"/>
            <w:vAlign w:val="center"/>
            <w:shd w:fill="E8EE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/>
                <w:sz w:val="18"/>
              </w:rPr>
              <w:t>验收项</w:t>
            </w:r>
          </w:p>
        </w:tc>
        <w:tc>
          <w:tcPr>
            <w:tcW w:type="dxa" w:w="4536"/>
            <w:vAlign w:val="center"/>
            <w:shd w:fill="E8EE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/>
                <w:sz w:val="18"/>
              </w:rPr>
              <w:t>通过标准</w:t>
            </w:r>
          </w:p>
        </w:tc>
        <w:tc>
          <w:tcPr>
            <w:tcW w:type="dxa" w:w="3600"/>
            <w:vAlign w:val="center"/>
            <w:shd w:fill="E8EE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/>
                <w:sz w:val="18"/>
              </w:rPr>
              <w:t>当前状态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后端业务回归</w:t>
            </w:r>
          </w:p>
        </w:tc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身份 观测 批次 Agent 视觉测试通过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28 项通过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7F8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Harness 参数与工具</w:t>
            </w:r>
          </w:p>
        </w:tc>
        <w:tc>
          <w:tcPr>
            <w:tcW w:type="dxa" w:w="4536"/>
            <w:vAlign w:val="center"/>
            <w:shd w:fill="F7F8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工具 schema 与边缘预算测试通过</w:t>
            </w:r>
          </w:p>
        </w:tc>
        <w:tc>
          <w:tcPr>
            <w:tcW w:type="dxa" w:w="3600"/>
            <w:vAlign w:val="center"/>
            <w:shd w:fill="F7F8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3 项通过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Python 推理</w:t>
            </w:r>
          </w:p>
        </w:tc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NMS 格式拒绝 常驻多帧与错误恢复通过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3 项通过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7F8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摄像头流程</w:t>
            </w:r>
          </w:p>
        </w:tc>
        <w:tc>
          <w:tcPr>
            <w:tcW w:type="dxa" w:w="4536"/>
            <w:vAlign w:val="center"/>
            <w:shd w:fill="F7F8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采样 推理 连续检测 停止与后台释放</w:t>
            </w:r>
          </w:p>
        </w:tc>
        <w:tc>
          <w:tcPr>
            <w:tcW w:type="dxa" w:w="3600"/>
            <w:vAlign w:val="center"/>
            <w:shd w:fill="F7F8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Windows 模拟摄像头回归通过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Jetson GPU</w:t>
            </w:r>
          </w:p>
        </w:tc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FP16 输出与 CPU 比较通过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待上板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7F8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板端稳定性</w:t>
            </w:r>
          </w:p>
        </w:tc>
        <w:tc>
          <w:tcPr>
            <w:tcW w:type="dxa" w:w="4536"/>
            <w:vAlign w:val="center"/>
            <w:shd w:fill="F7F8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两小时无 OOM 队列与界面可用</w:t>
            </w:r>
          </w:p>
        </w:tc>
        <w:tc>
          <w:tcPr>
            <w:tcW w:type="dxa" w:w="3600"/>
            <w:vAlign w:val="center"/>
            <w:shd w:fill="F7F8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待上板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本地大模型</w:t>
            </w:r>
          </w:p>
        </w:tc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真正调用工具并引用返回事实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Qwen3 板端待验收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7F8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视觉性能目标</w:t>
            </w:r>
          </w:p>
        </w:tc>
        <w:tc>
          <w:tcPr>
            <w:tcW w:type="dxa" w:w="4536"/>
            <w:vAlign w:val="center"/>
            <w:shd w:fill="F7F8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暖机 p95 不超过 500ms</w:t>
            </w:r>
          </w:p>
        </w:tc>
        <w:tc>
          <w:tcPr>
            <w:tcW w:type="dxa" w:w="3600"/>
            <w:vAlign w:val="center"/>
            <w:shd w:fill="F7F8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待实测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Agent 性能目标</w:t>
            </w:r>
          </w:p>
        </w:tc>
        <w:tc>
          <w:tcPr>
            <w:tcW w:type="dxa" w:w="45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标准单任务 180 秒内完成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76" w:lineRule="auto"/>
            </w:pPr>
            <w:r>
              <w:rPr>
                <w:b w:val="0"/>
                <w:sz w:val="18"/>
              </w:rPr>
              <w:t>待实测</w:t>
            </w:r>
          </w:p>
        </w:tc>
      </w:tr>
    </w:tbl>
    <w:p>
      <w:pPr>
        <w:spacing w:after="0"/>
      </w:pPr>
    </w:p>
    <w:p>
      <w:r>
        <w:t>性能目标用于安排验收，不表示目前已经达到。图像数值比较要求相同类别、框 IoU 至少 0.9、置信度差不超过 0.03。还需记录型号、功耗模式、版本、温度、内存以及三次重复基准。已有 Windows CPU 延迟只能帮助检查脚本，不可替代板端指标。</w:t>
      </w:r>
    </w:p>
    <w:p>
      <w:pPr>
        <w:pStyle w:val="Heading1"/>
      </w:pPr>
      <w:r>
        <w:t>商业产品化前置工作</w:t>
      </w:r>
    </w:p>
    <w:p>
      <w:r>
        <w:t>当前成果适合展示和试用。面向正式销售，还需要角色与租户授权、注册和登录的完整防护、版本化数据库迁移、自动恢复演练、设备身份与升级签名、日志脱敏和容量保留策略，以及长期稳定性与失效测试。真实设备控制应另行建设协议、权限、确认和执行回执，不能延伸解释现有模拟按钮。</w:t>
      </w:r>
    </w:p>
    <w:p>
      <w:r>
        <w:t>模型许可也需完成发行审查。Qwen3 官方模型标注 Apache 2.0；当前公开梨叶来源仓库附 MIT 许可，同时构建链使用 Ultralytics 并保留 AGPL 3 文本。来源仓库的许可不能自动消除训练工具或权重的发行义务。商业版本须完成权重来源与授权核验，必要时替换成授权明确的模型，不能把现有演示检测器直接表述为已通过商用合规。</w:t>
      </w:r>
    </w:p>
    <w:p>
      <w:r>
        <w:t>梨叶模型尚未经过泊头鸭梨专项验证，不能对外宣传准确诊断率、病害概率或农药剂量建议。工业整机还需按销售场景完成相应可靠性、安全与认证工作。后续范围由实际客户与设备要求确定。</w:t>
      </w:r>
    </w:p>
    <w:p>
      <w:pPr>
        <w:pStyle w:val="Heading1"/>
      </w:pPr>
      <w:r>
        <w:t>官方参考与仓库交付</w:t>
      </w:r>
    </w:p>
    <w:p>
      <w:r>
        <w:t>NVIDIA JetPack 基线 https://docs.nvidia.com/jetson/jetpack/6.2.1/release-notes/index.html</w:t>
      </w:r>
    </w:p>
    <w:p>
      <w:r>
        <w:t>Qwen3 官方模型 https://huggingface.co/Qwen/Qwen3-4B-GGUF</w:t>
      </w:r>
    </w:p>
    <w:p>
      <w:r>
        <w:t>llama.cpp 固定构建版本 https://github.com/ggml-org/llama.cpp/tree/4762ad7316dcdec20016ab5985fb46a27902204d</w:t>
      </w:r>
    </w:p>
    <w:p>
      <w:r>
        <w:t>TensorRT Python API https://docs.nvidia.com/deeplearning/tensorrt/latest/inference-library/python-api-docs.html</w:t>
      </w:r>
    </w:p>
    <w:p>
      <w:r>
        <w:t>详细安装与命令见 Jetson部署与验收.md，模块边界与维护规则见 代码结构与维护.md。以上文档与代码一同版本管理，Word 文件作为对外阅读副本。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0.2 部署候选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盐田丰语    Jetson 展示版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40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盐田丰语 Jetson 展示版产品文档</dc:title>
  <dc:subject>产品范围 设备选型 部署与验收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