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盐田丰语农业软件平台技术文档</w:t>
      </w:r>
    </w:p>
    <w:p>
      <w:pPr>
        <w:pStyle w:val="Subtitle"/>
      </w:pPr>
      <w:r>
        <w:t>系统设计 算法实现 数据流程 部署与验收</w:t>
      </w:r>
    </w:p>
    <w:p>
      <w:r>
        <w:t>版本 2.1    更新日期 2026年10月16日    适用基线 番茄大棚与串口改造后的工作区代码</w:t>
      </w:r>
    </w:p>
    <w:p>
      <w:r>
        <w:t>本文面向开发、算法、测试、部署与项目评审人员，完整说明盐田丰语从农业观测、Agent核验、多作物视觉与知识检索，到采后记录和自动运输仿真的软件实现。本文依据当前源码和完成度审计重写，取代旧版技术说明手册作为维护入口。</w:t>
      </w:r>
    </w:p>
    <w:p>
      <w:r>
        <w:t>当前交付以可运行的软件展示为主，包含演示观测、模拟运输和登记业务记录。本轮新增番茄大棚逐株场景，以及面向自研固件的串口协议、网关与入库接口。界面运行、模型推理、独立准确率评估和硬件联调分别验收；目前未连接实体串口设备，Jetson尚未上板验收。</w:t>
      </w:r>
    </w:p>
    <w:p>
      <w:r>
        <w:t>文中公式均为Word原生OMML数学对象，可使用Word公式编辑器修改；公式后的符号说明给出单位、参数和源码含义。图像坐标的“单位”不是米，风险演示指数不是疾病概率。</w:t>
      </w:r>
    </w:p>
    <w:p>
      <w:pPr>
        <w:pStyle w:val="Heading1"/>
      </w:pPr>
      <w:r>
        <w:t>阅读索引</w:t>
      </w:r>
    </w:p>
    <w:p>
      <w:pPr>
        <w:spacing w:after="0" w:line="240" w:lineRule="auto"/>
      </w:pPr>
      <w:r>
        <w:rPr>
          <w:sz w:val="18"/>
        </w:rPr>
        <w:t>1 系统范围与架构</w:t>
      </w:r>
    </w:p>
    <w:p>
      <w:pPr>
        <w:spacing w:after="0" w:line="240" w:lineRule="auto"/>
      </w:pPr>
      <w:r>
        <w:rPr>
          <w:sz w:val="18"/>
        </w:rPr>
        <w:t>2 数据模型与接口</w:t>
      </w:r>
    </w:p>
    <w:p>
      <w:pPr>
        <w:spacing w:after="0" w:line="240" w:lineRule="auto"/>
      </w:pPr>
      <w:r>
        <w:rPr>
          <w:sz w:val="18"/>
        </w:rPr>
        <w:t>3 Agent内核与资源控制</w:t>
      </w:r>
    </w:p>
    <w:p>
      <w:pPr>
        <w:spacing w:after="0" w:line="240" w:lineRule="auto"/>
      </w:pPr>
      <w:r>
        <w:rPr>
          <w:sz w:val="18"/>
        </w:rPr>
        <w:t>4 知识图谱与证据检索</w:t>
      </w:r>
    </w:p>
    <w:p>
      <w:pPr>
        <w:spacing w:after="0" w:line="240" w:lineRule="auto"/>
      </w:pPr>
      <w:r>
        <w:rPr>
          <w:sz w:val="18"/>
        </w:rPr>
        <w:t>5 多作物视觉识别</w:t>
      </w:r>
    </w:p>
    <w:p>
      <w:pPr>
        <w:spacing w:after="0" w:line="240" w:lineRule="auto"/>
      </w:pPr>
      <w:r>
        <w:rPr>
          <w:sz w:val="18"/>
        </w:rPr>
        <w:t>6 观测与风险评估</w:t>
      </w:r>
    </w:p>
    <w:p>
      <w:pPr>
        <w:spacing w:after="0" w:line="240" w:lineRule="auto"/>
      </w:pPr>
      <w:r>
        <w:rPr>
          <w:sz w:val="18"/>
        </w:rPr>
        <w:t>7 采后管理与追溯</w:t>
      </w:r>
    </w:p>
    <w:p>
      <w:pPr>
        <w:spacing w:after="0" w:line="240" w:lineRule="auto"/>
      </w:pPr>
      <w:r>
        <w:rPr>
          <w:sz w:val="18"/>
        </w:rPr>
        <w:t>8 道路约束与全局导航</w:t>
      </w:r>
    </w:p>
    <w:p>
      <w:pPr>
        <w:spacing w:after="0" w:line="240" w:lineRule="auto"/>
      </w:pPr>
      <w:r>
        <w:rPr>
          <w:sz w:val="18"/>
        </w:rPr>
        <w:t>9 局部运动与避障</w:t>
      </w:r>
    </w:p>
    <w:p>
      <w:pPr>
        <w:spacing w:after="0" w:line="240" w:lineRule="auto"/>
      </w:pPr>
      <w:r>
        <w:rPr>
          <w:sz w:val="18"/>
        </w:rPr>
        <w:t>10 二维和三维同步表现</w:t>
      </w:r>
    </w:p>
    <w:p>
      <w:pPr>
        <w:spacing w:after="0" w:line="240" w:lineRule="auto"/>
      </w:pPr>
      <w:r>
        <w:rPr>
          <w:sz w:val="18"/>
        </w:rPr>
        <w:t>11 Windows构建与启动</w:t>
      </w:r>
    </w:p>
    <w:p>
      <w:pPr>
        <w:spacing w:after="0" w:line="240" w:lineRule="auto"/>
      </w:pPr>
      <w:r>
        <w:rPr>
          <w:sz w:val="18"/>
        </w:rPr>
        <w:t>12 Jetson推理部署</w:t>
      </w:r>
    </w:p>
    <w:p>
      <w:pPr>
        <w:spacing w:after="0" w:line="240" w:lineRule="auto"/>
      </w:pPr>
      <w:r>
        <w:rPr>
          <w:sz w:val="18"/>
        </w:rPr>
        <w:t>13 测试验收与性能</w:t>
      </w:r>
    </w:p>
    <w:p>
      <w:pPr>
        <w:spacing w:after="0" w:line="240" w:lineRule="auto"/>
      </w:pPr>
      <w:r>
        <w:rPr>
          <w:sz w:val="18"/>
        </w:rPr>
        <w:t>14 运维安全与演进</w:t>
      </w:r>
    </w:p>
    <w:p>
      <w:pPr>
        <w:spacing w:after="0" w:line="240" w:lineRule="auto"/>
      </w:pPr>
      <w:r>
        <w:rPr>
          <w:sz w:val="18"/>
        </w:rPr>
        <w:t>15 串口设备通信与数据入库</w:t>
      </w:r>
    </w:p>
    <w:p>
      <w:pPr>
        <w:spacing w:after="0" w:line="240" w:lineRule="auto"/>
      </w:pPr>
      <w:r>
        <w:rPr>
          <w:sz w:val="18"/>
        </w:rPr>
        <w:t>16 界面运行验证与截图</w:t>
      </w:r>
    </w:p>
    <w:p>
      <w:pPr>
        <w:spacing w:after="0" w:line="240" w:lineRule="auto"/>
      </w:pPr>
      <w:r>
        <w:rPr>
          <w:sz w:val="18"/>
        </w:rPr>
        <w:t>附录 源码定位与公式索引</w:t>
      </w:r>
    </w:p>
    <w:p>
      <w:r>
        <w:br w:type="page"/>
      </w:r>
    </w:p>
    <w:p>
      <w:pPr>
        <w:pStyle w:val="Heading1"/>
      </w:pPr>
      <w:r>
        <w:t>1 系统范围与架构</w:t>
      </w:r>
    </w:p>
    <w:p>
      <w:r>
        <w:t>平台由React官网、Vue主工作台、独立多作物前端、Spring Boot业务服务、官方Harness运行时、Python视觉与知识服务以及MySQL和Neo4j组成。浏览器经Java统一鉴权访问业务和多作物代理接口；Three.js在客户端渲染场景，后端负责记录和权威运输状态。</w:t>
      </w:r>
    </w:p>
    <w:tbl>
      <w:tblPr>
        <w:tblW w:type="auto" w:w="0"/>
        <w:tblLayout w:type="fixed"/>
        <w:tblLook w:firstColumn="1" w:firstRow="1" w:lastColumn="0" w:lastRow="0" w:noHBand="0" w:noVBand="1" w:val="04A0"/>
        <w:tblBorders>
          <w:top w:val="single" w:sz="4" w:color="D3D9D6"/>
          <w:left w:val="single" w:sz="4" w:color="D3D9D6"/>
          <w:bottom w:val="single" w:sz="4" w:color="D3D9D6"/>
          <w:right w:val="single" w:sz="4" w:color="D3D9D6"/>
          <w:insideH w:val="single" w:sz="4" w:color="D3D9D6"/>
          <w:insideV w:val="single" w:sz="4" w:color="D3D9D6"/>
        </w:tblBorders>
      </w:tblPr>
      <w:tblGrid>
        <w:gridCol w:w="1587"/>
        <w:gridCol w:w="3912"/>
        <w:gridCol w:w="3912"/>
      </w:tblGrid>
      <w:tr>
        <w:trPr>
          <w:cantSplit/>
          <w:tblHeader/>
          <w:tblHeader/>
          <w:cantSplit/>
        </w:trPr>
        <w:tc>
          <w:tcPr>
            <w:tcW w:type="dxa" w:w="1587"/>
            <w:tcBorders>
              <w:top w:val="single" w:sz="4" w:color="D9D9D9"/>
              <w:left w:val="single" w:sz="4" w:color="D9D9D9"/>
              <w:bottom w:val="single" w:sz="4" w:color="D9D9D9"/>
              <w:right w:val="single" w:sz="4" w:color="D9D9D9"/>
            </w:tcBorders>
            <w:shd w:fill="E8EDF0"/>
            <w:tcMar>
              <w:top w:w="100" w:type="dxa"/>
              <w:left w:w="100" w:type="dxa"/>
              <w:bottom w:w="100" w:type="dxa"/>
              <w:right w:w="100" w:type="dxa"/>
            </w:tcMar>
          </w:tcPr>
          <w:p>
            <w:pPr>
              <w:keepNext/>
              <w:spacing w:after="60" w:line="276" w:lineRule="auto"/>
            </w:pPr>
            <w:r>
              <w:rPr>
                <w:b/>
                <w:sz w:val="18"/>
              </w:rPr>
              <w:t>组件</w:t>
            </w:r>
          </w:p>
        </w:tc>
        <w:tc>
          <w:tcPr>
            <w:tcW w:type="dxa" w:w="3912"/>
            <w:tcBorders>
              <w:top w:val="single" w:sz="4" w:color="D9D9D9"/>
              <w:left w:val="single" w:sz="4" w:color="D9D9D9"/>
              <w:bottom w:val="single" w:sz="4" w:color="D9D9D9"/>
              <w:right w:val="single" w:sz="4" w:color="D9D9D9"/>
            </w:tcBorders>
            <w:shd w:fill="E8EDF0"/>
            <w:tcMar>
              <w:top w:w="100" w:type="dxa"/>
              <w:left w:w="100" w:type="dxa"/>
              <w:bottom w:w="100" w:type="dxa"/>
              <w:right w:w="100" w:type="dxa"/>
            </w:tcMar>
          </w:tcPr>
          <w:p>
            <w:pPr>
              <w:keepNext/>
              <w:spacing w:after="60" w:line="276" w:lineRule="auto"/>
            </w:pPr>
            <w:r>
              <w:rPr>
                <w:b/>
                <w:sz w:val="18"/>
              </w:rPr>
              <w:t>当前技术</w:t>
            </w:r>
          </w:p>
        </w:tc>
        <w:tc>
          <w:tcPr>
            <w:tcW w:type="dxa" w:w="3912"/>
            <w:tcBorders>
              <w:top w:val="single" w:sz="4" w:color="D9D9D9"/>
              <w:left w:val="single" w:sz="4" w:color="D9D9D9"/>
              <w:bottom w:val="single" w:sz="4" w:color="D9D9D9"/>
              <w:right w:val="single" w:sz="4" w:color="D9D9D9"/>
            </w:tcBorders>
            <w:shd w:fill="E8EDF0"/>
            <w:tcMar>
              <w:top w:w="100" w:type="dxa"/>
              <w:left w:w="100" w:type="dxa"/>
              <w:bottom w:w="100" w:type="dxa"/>
              <w:right w:w="100" w:type="dxa"/>
            </w:tcMar>
          </w:tcPr>
          <w:p>
            <w:pPr>
              <w:keepNext/>
              <w:spacing w:after="60" w:line="276" w:lineRule="auto"/>
            </w:pPr>
            <w:r>
              <w:rPr>
                <w:b/>
                <w:sz w:val="18"/>
              </w:rPr>
              <w:t>责任</w:t>
            </w:r>
          </w:p>
        </w:tc>
      </w:tr>
      <w:tr>
        <w:trPr>
          <w:cantSplit/>
          <w:cantSplit/>
        </w:trPr>
        <w:tc>
          <w:tcPr>
            <w:tcW w:type="dxa" w:w="158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官网</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React 18与Vite</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品牌介绍 注册 登录</w:t>
            </w:r>
          </w:p>
        </w:tc>
      </w:tr>
      <w:tr>
        <w:trPr>
          <w:cantSplit/>
          <w:cantSplit/>
        </w:trPr>
        <w:tc>
          <w:tcPr>
            <w:tcW w:type="dxa" w:w="1587"/>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主工作台</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Vue 3 TypeScript Three.js 0.152.2</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Agent 数据 作物 2D与3D</w:t>
            </w:r>
          </w:p>
        </w:tc>
      </w:tr>
      <w:tr>
        <w:trPr>
          <w:cantSplit/>
          <w:cantSplit/>
        </w:trPr>
        <w:tc>
          <w:tcPr>
            <w:tcW w:type="dxa" w:w="158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业务服务</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Java 17 Spring Boot 4.1.0 JPA</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鉴权 数据 任务 记录 运输</w:t>
            </w:r>
          </w:p>
        </w:tc>
      </w:tr>
      <w:tr>
        <w:trPr>
          <w:cantSplit/>
          <w:cantSplit/>
        </w:trPr>
        <w:tc>
          <w:tcPr>
            <w:tcW w:type="dxa" w:w="1587"/>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Agent运行时</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DeepSeek Harness SDK 0.2.0-rc.2</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工具循环与会话事件</w:t>
            </w:r>
          </w:p>
        </w:tc>
      </w:tr>
      <w:tr>
        <w:trPr>
          <w:cantSplit/>
          <w:cantSplit/>
        </w:trPr>
        <w:tc>
          <w:tcPr>
            <w:tcW w:type="dxa" w:w="158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AI服务</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Python FastAPI ONNX Runtime Ultralytics</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视觉与知识检索</w:t>
            </w:r>
          </w:p>
        </w:tc>
      </w:tr>
      <w:tr>
        <w:trPr>
          <w:cantSplit/>
          <w:cantSplit/>
        </w:trPr>
        <w:tc>
          <w:tcPr>
            <w:tcW w:type="dxa" w:w="1587"/>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存储</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MySQL Neo4j 文件目录</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业务状态 图谱 原图与模型</w:t>
            </w:r>
          </w:p>
        </w:tc>
      </w:tr>
      <w:tr>
        <w:trPr>
          <w:cantSplit/>
        </w:trPr>
        <w:tc>
          <w:tcPr>
            <w:tcW w:type="dxa" w:w="1587"/>
          </w:tcPr>
          <w:p>
            <w:pPr>
              <w:keepNext w:val="0"/>
            </w:pPr>
            <w:r>
              <w:rPr>
                <w:sz w:val="18"/>
              </w:rPr>
              <w:t>串口接入</w:t>
            </w:r>
          </w:p>
        </w:tc>
        <w:tc>
          <w:tcPr>
            <w:tcW w:type="dxa" w:w="3912"/>
          </w:tcPr>
          <w:p>
            <w:pPr>
              <w:keepNext w:val="0"/>
            </w:pPr>
            <w:r>
              <w:rPr>
                <w:sz w:val="18"/>
              </w:rPr>
              <w:t>Python pyserial SQLite 与可移植C库</w:t>
            </w:r>
          </w:p>
        </w:tc>
        <w:tc>
          <w:tcPr>
            <w:tcW w:type="dxa" w:w="3912"/>
          </w:tcPr>
          <w:p>
            <w:pPr>
              <w:keepNext w:val="0"/>
            </w:pPr>
            <w:r>
              <w:rPr>
                <w:sz w:val="18"/>
              </w:rPr>
              <w:t>采样校验 指令 回执 缓存 入库</w:t>
            </w:r>
          </w:p>
        </w:tc>
      </w:tr>
    </w:tbl>
    <w:p>
      <w:r>
        <w:t>一次视觉知识任务的路径为：地块选择→确定作物和识别任务→上传或摄像头采样→Java鉴权代理→对应Python模型→视觉候选→知识实体匹配→图谱问题预填或循证问答。模型识别标签只是一条观察线索，不能跳过知识证据准入与人工复核。</w:t>
      </w:r>
    </w:p>
    <w:p>
      <w:r>
        <w:t>运输路径为：设施侧栏打开导航弹窗→选择取送点与货物→合法路线预览→库存预留→车辆取货→确认或自动装货→交付→入库流水。2D和3D只是同一任务的两个显示端。当前运输账和采后批次账独立，尚无自动创建采后批次的桥接逻辑。</w:t>
      </w:r>
    </w:p>
    <w:p>
      <w:pPr>
        <w:pStyle w:val="Heading1"/>
      </w:pPr>
      <w:r>
        <w:t>2 数据模型与接口</w:t>
      </w:r>
    </w:p>
    <w:p>
      <w:r>
        <w:t>MySQL保存用户、农场资产、环境观测、告警、个人面板、Agent任务与事件、视觉任务与复核、业务记录和运输状态。Neo4j保存作物知识实体及带来源的关系。上传原图和模型文件位于文件系统，不由浏览器自行覆盖。</w:t>
      </w:r>
    </w:p>
    <w:tbl>
      <w:tblPr>
        <w:tblW w:type="auto" w:w="0"/>
        <w:tblLayout w:type="fixed"/>
        <w:tblLook w:firstColumn="1" w:firstRow="1" w:lastColumn="0" w:lastRow="0" w:noHBand="0" w:noVBand="1" w:val="04A0"/>
        <w:tblBorders>
          <w:top w:val="single" w:sz="4" w:color="D3D9D6"/>
          <w:left w:val="single" w:sz="4" w:color="D3D9D6"/>
          <w:bottom w:val="single" w:sz="4" w:color="D3D9D6"/>
          <w:right w:val="single" w:sz="4" w:color="D3D9D6"/>
          <w:insideH w:val="single" w:sz="4" w:color="D3D9D6"/>
          <w:insideV w:val="single" w:sz="4" w:color="D3D9D6"/>
        </w:tblBorders>
      </w:tblPr>
      <w:tblGrid>
        <w:gridCol w:w="1587"/>
        <w:gridCol w:w="3912"/>
        <w:gridCol w:w="3912"/>
      </w:tblGrid>
      <w:tr>
        <w:trPr>
          <w:cantSplit/>
          <w:tblHeader/>
          <w:tblHeader/>
          <w:cantSplit/>
        </w:trPr>
        <w:tc>
          <w:tcPr>
            <w:tcW w:type="dxa" w:w="1587"/>
            <w:tcBorders>
              <w:top w:val="single" w:sz="4" w:color="D9D9D9"/>
              <w:left w:val="single" w:sz="4" w:color="D9D9D9"/>
              <w:bottom w:val="single" w:sz="4" w:color="D9D9D9"/>
              <w:right w:val="single" w:sz="4" w:color="D9D9D9"/>
            </w:tcBorders>
            <w:shd w:fill="E8EDF0"/>
            <w:tcMar>
              <w:top w:w="100" w:type="dxa"/>
              <w:left w:w="100" w:type="dxa"/>
              <w:bottom w:w="100" w:type="dxa"/>
              <w:right w:w="100" w:type="dxa"/>
            </w:tcMar>
          </w:tcPr>
          <w:p>
            <w:pPr>
              <w:keepNext/>
              <w:spacing w:after="60" w:line="276" w:lineRule="auto"/>
            </w:pPr>
            <w:r>
              <w:rPr>
                <w:b/>
                <w:sz w:val="18"/>
              </w:rPr>
              <w:t>数据域</w:t>
            </w:r>
          </w:p>
        </w:tc>
        <w:tc>
          <w:tcPr>
            <w:tcW w:type="dxa" w:w="3912"/>
            <w:tcBorders>
              <w:top w:val="single" w:sz="4" w:color="D9D9D9"/>
              <w:left w:val="single" w:sz="4" w:color="D9D9D9"/>
              <w:bottom w:val="single" w:sz="4" w:color="D9D9D9"/>
              <w:right w:val="single" w:sz="4" w:color="D9D9D9"/>
            </w:tcBorders>
            <w:shd w:fill="E8EDF0"/>
            <w:tcMar>
              <w:top w:w="100" w:type="dxa"/>
              <w:left w:w="100" w:type="dxa"/>
              <w:bottom w:w="100" w:type="dxa"/>
              <w:right w:w="100" w:type="dxa"/>
            </w:tcMar>
          </w:tcPr>
          <w:p>
            <w:pPr>
              <w:keepNext/>
              <w:spacing w:after="60" w:line="276" w:lineRule="auto"/>
            </w:pPr>
            <w:r>
              <w:rPr>
                <w:b/>
                <w:sz w:val="18"/>
              </w:rPr>
              <w:t>核心结构</w:t>
            </w:r>
          </w:p>
        </w:tc>
        <w:tc>
          <w:tcPr>
            <w:tcW w:type="dxa" w:w="3912"/>
            <w:tcBorders>
              <w:top w:val="single" w:sz="4" w:color="D9D9D9"/>
              <w:left w:val="single" w:sz="4" w:color="D9D9D9"/>
              <w:bottom w:val="single" w:sz="4" w:color="D9D9D9"/>
              <w:right w:val="single" w:sz="4" w:color="D9D9D9"/>
            </w:tcBorders>
            <w:shd w:fill="E8EDF0"/>
            <w:tcMar>
              <w:top w:w="100" w:type="dxa"/>
              <w:left w:w="100" w:type="dxa"/>
              <w:bottom w:w="100" w:type="dxa"/>
              <w:right w:w="100" w:type="dxa"/>
            </w:tcMar>
          </w:tcPr>
          <w:p>
            <w:pPr>
              <w:keepNext/>
              <w:spacing w:after="60" w:line="276" w:lineRule="auto"/>
            </w:pPr>
            <w:r>
              <w:rPr>
                <w:b/>
                <w:sz w:val="18"/>
              </w:rPr>
              <w:t>约束</w:t>
            </w:r>
          </w:p>
        </w:tc>
      </w:tr>
      <w:tr>
        <w:trPr>
          <w:cantSplit/>
          <w:cantSplit/>
        </w:trPr>
        <w:tc>
          <w:tcPr>
            <w:tcW w:type="dxa" w:w="158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业务记录</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operation_records</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id version farmId entityId kind stage parentId quantity unit operatorName simulated</w:t>
            </w:r>
          </w:p>
        </w:tc>
      </w:tr>
      <w:tr>
        <w:trPr>
          <w:cantSplit/>
          <w:cantSplit/>
        </w:trPr>
        <w:tc>
          <w:tcPr>
            <w:tcW w:type="dxa" w:w="1587"/>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Agent</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任务与递增事件序号</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用户隔离 当前基地 工具参数与结果留痕</w:t>
            </w:r>
          </w:p>
        </w:tc>
      </w:tr>
      <w:tr>
        <w:trPr>
          <w:cantSplit/>
          <w:cantSplit/>
        </w:trPr>
        <w:tc>
          <w:tcPr>
            <w:tcW w:type="dxa" w:w="158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视觉</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任务 原图 结果 复核</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模型版本与哈希保存 复核不覆盖原输出</w:t>
            </w:r>
          </w:p>
        </w:tc>
      </w:tr>
      <w:tr>
        <w:trPr>
          <w:cantSplit/>
          <w:cantSplit/>
        </w:trPr>
        <w:tc>
          <w:tcPr>
            <w:tcW w:type="dxa" w:w="1587"/>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运输</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transport_states JSON</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任务 库存 预留 流水 车辆 路网版本</w:t>
            </w:r>
          </w:p>
        </w:tc>
      </w:tr>
      <w:tr>
        <w:trPr>
          <w:cantSplit/>
          <w:cantSplit/>
        </w:trPr>
        <w:tc>
          <w:tcPr>
            <w:tcW w:type="dxa" w:w="158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观测</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farm_observations</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时间 来源 基地 指标 最新240条查询</w:t>
            </w:r>
          </w:p>
        </w:tc>
      </w:tr>
      <w:tr>
        <w:trPr>
          <w:cantSplit/>
          <w:cantSplit/>
        </w:trPr>
        <w:tc>
          <w:tcPr>
            <w:tcW w:type="dxa" w:w="1587"/>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图谱</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节点与关系</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来源 定位 证据等级 适用阶段 审核状态</w:t>
            </w:r>
          </w:p>
        </w:tc>
      </w:tr>
      <w:tr>
        <w:trPr>
          <w:cantSplit/>
        </w:trPr>
        <w:tc>
          <w:tcPr>
            <w:tcW w:type="dxa" w:w="1587"/>
          </w:tcPr>
          <w:p>
            <w:pPr>
              <w:keepNext w:val="0"/>
            </w:pPr>
            <w:r>
              <w:rPr>
                <w:sz w:val="18"/>
              </w:rPr>
              <w:t>嵌入式报文</w:t>
            </w:r>
          </w:p>
        </w:tc>
        <w:tc>
          <w:tcPr>
            <w:tcW w:type="dxa" w:w="3912"/>
          </w:tcPr>
          <w:p>
            <w:pPr>
              <w:keepNext w:val="0"/>
            </w:pPr>
            <w:r>
              <w:rPr>
                <w:sz w:val="18"/>
              </w:rPr>
              <w:t>embedded_messages 与网关SQLite</w:t>
            </w:r>
          </w:p>
        </w:tc>
        <w:tc>
          <w:tcPr>
            <w:tcW w:type="dxa" w:w="3912"/>
          </w:tcPr>
          <w:p>
            <w:pPr>
              <w:keepNext w:val="0"/>
            </w:pPr>
            <w:r>
              <w:rPr>
                <w:sz w:val="18"/>
              </w:rPr>
              <w:t>设备与消息幂等键 指令过期 回执 版本</w:t>
            </w:r>
          </w:p>
        </w:tc>
      </w:tr>
    </w:tbl>
    <w:p>
      <w:r>
        <w:t>业务记录使用JPA乐观锁version防止并发流转冲突。采后批次与事件通过parentId关联。共享演示基地的农事和设备记录可在登录用户之间共享，Agent与视觉历史按用户隔离；当前不是完整企业租户权限模型。运输服务的synchronized保护单Java进程内修改，不构成多实例分布式锁。</w:t>
      </w:r>
    </w:p>
    <w:tbl>
      <w:tblPr>
        <w:tblW w:type="auto" w:w="0"/>
        <w:tblLayout w:type="fixed"/>
        <w:tblLook w:firstColumn="1" w:firstRow="1" w:lastColumn="0" w:lastRow="0" w:noHBand="0" w:noVBand="1" w:val="04A0"/>
        <w:tblBorders>
          <w:top w:val="single" w:sz="4" w:color="D3D9D6"/>
          <w:left w:val="single" w:sz="4" w:color="D3D9D6"/>
          <w:bottom w:val="single" w:sz="4" w:color="D3D9D6"/>
          <w:right w:val="single" w:sz="4" w:color="D3D9D6"/>
          <w:insideH w:val="single" w:sz="4" w:color="D3D9D6"/>
          <w:insideV w:val="single" w:sz="4" w:color="D3D9D6"/>
        </w:tblBorders>
      </w:tblPr>
      <w:tblGrid>
        <w:gridCol w:w="4252"/>
        <w:gridCol w:w="1928"/>
        <w:gridCol w:w="3231"/>
      </w:tblGrid>
      <w:tr>
        <w:trPr>
          <w:cantSplit/>
          <w:tblHeader/>
          <w:tblHeader/>
          <w:cantSplit/>
        </w:trPr>
        <w:tc>
          <w:tcPr>
            <w:tcW w:type="dxa" w:w="4252"/>
            <w:tcBorders>
              <w:top w:val="single" w:sz="4" w:color="D9D9D9"/>
              <w:left w:val="single" w:sz="4" w:color="D9D9D9"/>
              <w:bottom w:val="single" w:sz="4" w:color="D9D9D9"/>
              <w:right w:val="single" w:sz="4" w:color="D9D9D9"/>
            </w:tcBorders>
            <w:shd w:fill="E8EDF0"/>
            <w:tcMar>
              <w:top w:w="100" w:type="dxa"/>
              <w:left w:w="100" w:type="dxa"/>
              <w:bottom w:w="100" w:type="dxa"/>
              <w:right w:w="100" w:type="dxa"/>
            </w:tcMar>
          </w:tcPr>
          <w:p>
            <w:pPr>
              <w:keepNext/>
              <w:spacing w:after="60" w:line="276" w:lineRule="auto"/>
            </w:pPr>
            <w:r>
              <w:rPr>
                <w:b/>
                <w:sz w:val="18"/>
              </w:rPr>
              <w:t>接口</w:t>
            </w:r>
          </w:p>
        </w:tc>
        <w:tc>
          <w:tcPr>
            <w:tcW w:type="dxa" w:w="1928"/>
            <w:tcBorders>
              <w:top w:val="single" w:sz="4" w:color="D9D9D9"/>
              <w:left w:val="single" w:sz="4" w:color="D9D9D9"/>
              <w:bottom w:val="single" w:sz="4" w:color="D9D9D9"/>
              <w:right w:val="single" w:sz="4" w:color="D9D9D9"/>
            </w:tcBorders>
            <w:shd w:fill="E8EDF0"/>
            <w:tcMar>
              <w:top w:w="100" w:type="dxa"/>
              <w:left w:w="100" w:type="dxa"/>
              <w:bottom w:w="100" w:type="dxa"/>
              <w:right w:w="100" w:type="dxa"/>
            </w:tcMar>
          </w:tcPr>
          <w:p>
            <w:pPr>
              <w:keepNext/>
              <w:spacing w:after="60" w:line="276" w:lineRule="auto"/>
            </w:pPr>
            <w:r>
              <w:rPr>
                <w:b/>
                <w:sz w:val="18"/>
              </w:rPr>
              <w:t>用途</w:t>
            </w:r>
          </w:p>
        </w:tc>
        <w:tc>
          <w:tcPr>
            <w:tcW w:type="dxa" w:w="3231"/>
            <w:tcBorders>
              <w:top w:val="single" w:sz="4" w:color="D9D9D9"/>
              <w:left w:val="single" w:sz="4" w:color="D9D9D9"/>
              <w:bottom w:val="single" w:sz="4" w:color="D9D9D9"/>
              <w:right w:val="single" w:sz="4" w:color="D9D9D9"/>
            </w:tcBorders>
            <w:shd w:fill="E8EDF0"/>
            <w:tcMar>
              <w:top w:w="100" w:type="dxa"/>
              <w:left w:w="100" w:type="dxa"/>
              <w:bottom w:w="100" w:type="dxa"/>
              <w:right w:w="100" w:type="dxa"/>
            </w:tcMar>
          </w:tcPr>
          <w:p>
            <w:pPr>
              <w:keepNext/>
              <w:spacing w:after="60" w:line="276" w:lineRule="auto"/>
            </w:pPr>
            <w:r>
              <w:rPr>
                <w:b/>
                <w:sz w:val="18"/>
              </w:rPr>
              <w:t>校验</w:t>
            </w:r>
          </w:p>
        </w:tc>
      </w:tr>
      <w:tr>
        <w:trPr>
          <w:cantSplit/>
          <w:cantSplit/>
        </w:trPr>
        <w:tc>
          <w:tcPr>
            <w:tcW w:type="dxa" w:w="425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GET /api/health</w:t>
            </w:r>
          </w:p>
        </w:tc>
        <w:tc>
          <w:tcPr>
            <w:tcW w:type="dxa" w:w="19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Java存活</w:t>
            </w:r>
          </w:p>
        </w:tc>
        <w:tc>
          <w:tcPr>
            <w:tcW w:type="dxa" w:w="32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不代表模型或Neo4j就绪</w:t>
            </w:r>
          </w:p>
        </w:tc>
      </w:tr>
      <w:tr>
        <w:trPr>
          <w:cantSplit/>
          <w:cantSplit/>
        </w:trPr>
        <w:tc>
          <w:tcPr>
            <w:tcW w:type="dxa" w:w="425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GET /api/system/status</w:t>
            </w:r>
          </w:p>
        </w:tc>
        <w:tc>
          <w:tcPr>
            <w:tcW w:type="dxa" w:w="1928"/>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业务与模型诊断</w:t>
            </w:r>
          </w:p>
        </w:tc>
        <w:tc>
          <w:tcPr>
            <w:tcW w:type="dxa" w:w="3231"/>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登录后访问 配置模型检查</w:t>
            </w:r>
          </w:p>
        </w:tc>
      </w:tr>
      <w:tr>
        <w:trPr>
          <w:cantSplit/>
          <w:cantSplit/>
        </w:trPr>
        <w:tc>
          <w:tcPr>
            <w:tcW w:type="dxa" w:w="425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GET /api/farms/{farmId}/dashboard</w:t>
            </w:r>
          </w:p>
        </w:tc>
        <w:tc>
          <w:tcPr>
            <w:tcW w:type="dxa" w:w="19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数据快照</w:t>
            </w:r>
          </w:p>
        </w:tc>
        <w:tc>
          <w:tcPr>
            <w:tcW w:type="dxa" w:w="32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当前基地</w:t>
            </w:r>
          </w:p>
        </w:tc>
      </w:tr>
      <w:tr>
        <w:trPr>
          <w:cantSplit/>
          <w:cantSplit/>
        </w:trPr>
        <w:tc>
          <w:tcPr>
            <w:tcW w:type="dxa" w:w="425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GET /api/farms/{farmId}/observations</w:t>
            </w:r>
          </w:p>
        </w:tc>
        <w:tc>
          <w:tcPr>
            <w:tcW w:type="dxa" w:w="1928"/>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观测历史</w:t>
            </w:r>
          </w:p>
        </w:tc>
        <w:tc>
          <w:tcPr>
            <w:tcW w:type="dxa" w:w="3231"/>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指标与数量约束</w:t>
            </w:r>
          </w:p>
        </w:tc>
      </w:tr>
      <w:tr>
        <w:trPr>
          <w:cantSplit/>
          <w:cantSplit/>
        </w:trPr>
        <w:tc>
          <w:tcPr>
            <w:tcW w:type="dxa" w:w="425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/api/agent/runs</w:t>
            </w:r>
          </w:p>
        </w:tc>
        <w:tc>
          <w:tcPr>
            <w:tcW w:type="dxa" w:w="19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Agent任务与事件</w:t>
            </w:r>
          </w:p>
        </w:tc>
        <w:tc>
          <w:tcPr>
            <w:tcW w:type="dxa" w:w="32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登录用户拥有任务</w:t>
            </w:r>
          </w:p>
        </w:tc>
      </w:tr>
      <w:tr>
        <w:trPr>
          <w:cantSplit/>
          <w:cantSplit/>
        </w:trPr>
        <w:tc>
          <w:tcPr>
            <w:tcW w:type="dxa" w:w="425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/api/vision/jobs</w:t>
            </w:r>
          </w:p>
        </w:tc>
        <w:tc>
          <w:tcPr>
            <w:tcW w:type="dxa" w:w="1928"/>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视觉任务与复核</w:t>
            </w:r>
          </w:p>
        </w:tc>
        <w:tc>
          <w:tcPr>
            <w:tcW w:type="dxa" w:w="3231"/>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登录用户与基地</w:t>
            </w:r>
          </w:p>
        </w:tc>
      </w:tr>
      <w:tr>
        <w:trPr>
          <w:cantSplit/>
          <w:cantSplit/>
        </w:trPr>
        <w:tc>
          <w:tcPr>
            <w:tcW w:type="dxa" w:w="425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/api/multicrop/{path}</w:t>
            </w:r>
          </w:p>
        </w:tc>
        <w:tc>
          <w:tcPr>
            <w:tcW w:type="dxa" w:w="19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多作物代理</w:t>
            </w:r>
          </w:p>
        </w:tc>
        <w:tc>
          <w:tcPr>
            <w:tcW w:type="dxa" w:w="32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路径白名单 GET与POST</w:t>
            </w:r>
          </w:p>
        </w:tc>
      </w:tr>
      <w:tr>
        <w:trPr>
          <w:cantSplit/>
          <w:cantSplit/>
        </w:trPr>
        <w:tc>
          <w:tcPr>
            <w:tcW w:type="dxa" w:w="425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/api/farms/{farmId}/operations</w:t>
            </w:r>
          </w:p>
        </w:tc>
        <w:tc>
          <w:tcPr>
            <w:tcW w:type="dxa" w:w="1928"/>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农事与采后记录</w:t>
            </w:r>
          </w:p>
        </w:tc>
        <w:tc>
          <w:tcPr>
            <w:tcW w:type="dxa" w:w="3231"/>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对象归属 数量 流转顺序</w:t>
            </w:r>
          </w:p>
        </w:tc>
      </w:tr>
      <w:tr>
        <w:trPr>
          <w:cantSplit/>
          <w:cantSplit/>
        </w:trPr>
        <w:tc>
          <w:tcPr>
            <w:tcW w:type="dxa" w:w="425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/api/farms/{farmId}/transport</w:t>
            </w:r>
          </w:p>
        </w:tc>
        <w:tc>
          <w:tcPr>
            <w:tcW w:type="dxa" w:w="192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状态 规划 任务 控制</w:t>
            </w:r>
          </w:p>
        </w:tc>
        <w:tc>
          <w:tcPr>
            <w:tcW w:type="dxa" w:w="3231"/>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当前仅yantian-01仿真</w:t>
            </w:r>
          </w:p>
        </w:tc>
      </w:tr>
      <w:tr>
        <w:trPr>
          <w:cantSplit/>
        </w:trPr>
        <w:tc>
          <w:tcPr>
            <w:tcW w:type="dxa" w:w="4252"/>
          </w:tcPr>
          <w:p>
            <w:pPr>
              <w:keepNext w:val="0"/>
            </w:pPr>
            <w:r>
              <w:rPr>
                <w:sz w:val="18"/>
              </w:rPr>
              <w:t>/api/farms/{farm}/embedded/{device}</w:t>
            </w:r>
          </w:p>
        </w:tc>
        <w:tc>
          <w:tcPr>
            <w:tcW w:type="dxa" w:w="1928"/>
          </w:tcPr>
          <w:p>
            <w:pPr>
              <w:keepNext w:val="0"/>
            </w:pPr>
            <w:r>
              <w:rPr>
                <w:sz w:val="18"/>
              </w:rPr>
              <w:t>遥测 指令 待发 回执 历史</w:t>
            </w:r>
          </w:p>
        </w:tc>
        <w:tc>
          <w:tcPr>
            <w:tcW w:type="dxa" w:w="3231"/>
          </w:tcPr>
          <w:p>
            <w:pPr>
              <w:keepNext w:val="0"/>
            </w:pPr>
            <w:r>
              <w:rPr>
                <w:sz w:val="18"/>
              </w:rPr>
              <w:t>沿用JWT 校验设备归属 与消息幂等键</w:t>
            </w:r>
          </w:p>
        </w:tc>
      </w:tr>
      <w:tr>
        <w:trPr>
          <w:cantSplit/>
        </w:trPr>
        <w:tc>
          <w:tcPr>
            <w:tcW w:type="dxa" w:w="4252"/>
          </w:tcPr>
          <w:p>
            <w:pPr>
              <w:keepNext w:val="0"/>
            </w:pPr>
            <w:r>
              <w:rPr>
                <w:sz w:val="18"/>
              </w:rPr>
              <w:t>/api/multicrop/tomato/vision/analyze</w:t>
            </w:r>
          </w:p>
        </w:tc>
        <w:tc>
          <w:tcPr>
            <w:tcW w:type="dxa" w:w="1928"/>
          </w:tcPr>
          <w:p>
            <w:pPr>
              <w:keepNext w:val="0"/>
            </w:pPr>
            <w:r>
              <w:rPr>
                <w:sz w:val="18"/>
              </w:rPr>
              <w:t>番茄叶片与成熟度</w:t>
            </w:r>
          </w:p>
        </w:tc>
        <w:tc>
          <w:tcPr>
            <w:tcW w:type="dxa" w:w="3231"/>
          </w:tcPr>
          <w:p>
            <w:pPr>
              <w:keepNext w:val="0"/>
            </w:pPr>
            <w:r>
              <w:rPr>
                <w:sz w:val="18"/>
              </w:rPr>
              <w:t>鉴权代理 task枚举 权重SHA256</w:t>
            </w:r>
          </w:p>
        </w:tc>
      </w:tr>
    </w:tbl>
    <w:p>
      <w:pPr>
        <w:pStyle w:val="Heading1"/>
      </w:pPr>
      <w:r>
        <w:t>3 Agent内核与资源控制</w:t>
      </w:r>
    </w:p>
    <w:p>
      <w:r>
        <w:t>默认使用官方Harness sdk-minimal profile，自有Java循环保留为legacy兼容路径。Java管理身份、基地上下文、任务队列和结果核验，Node子进程运行SDK。系统禁用shell工具，只注册农业白名单插件：get_farm_context、analyze_environment、retrieve_evidence、get_vision_records、get_business_records及query_crop_knowledge。工具执行仍由后端权限和参数校验约束。</w:t>
      </w:r>
    </w:p>
    <w:p>
      <w:r>
        <w:t>任务按创建、排队、运行、完成或失败/取消管理，工具调用与结果保存为有序事件。重试创建关联任务，不声称从模型内部中断状态恢复；取消会回收子进程。最终答案先核对要求的工具是否实际调用，以及指定视觉记录和业务批次是否一致，缺失事实使用保存结果摘要纠正。</w:t>
      </w:r>
    </w:p>
    <w:p>
      <w:pPr>
        <w:keepNext/>
        <w:jc w:val="center"/>
      </w:pPr>
      <m:oMath>
        <m:sSub>
          <m:e>
            <m:r>
              <m:rPr>
                <m:sty m:val="p"/>
              </m:rPr>
              <m:t>T</m:t>
            </m:r>
          </m:e>
          <m:sub>
            <m:r>
              <m:rPr>
                <m:sty m:val="p"/>
              </m:rPr>
              <m:t>effective</m:t>
            </m:r>
          </m:sub>
        </m:sSub>
        <m:r>
          <m:rPr>
            <m:sty m:val="p"/>
          </m:rPr>
          <m:t> = min(900, max(60, </m:t>
        </m:r>
        <m:sSub>
          <m:e>
            <m:r>
              <m:rPr>
                <m:sty m:val="p"/>
              </m:rPr>
              <m:t>T</m:t>
            </m:r>
          </m:e>
          <m:sub>
            <m:r>
              <m:rPr>
                <m:sty m:val="p"/>
              </m:rPr>
              <m:t>configured</m:t>
            </m:r>
          </m:sub>
        </m:sSub>
        <m:r>
          <m:rPr>
            <m:sty m:val="p"/>
          </m:rPr>
          <m:t>))</m:t>
        </m:r>
      </m:oMath>
      <w:r>
        <w:rPr>
          <w:sz w:val="18"/>
        </w:rPr>
        <w:t xml:space="preserve">    （1）</w:t>
      </w:r>
    </w:p>
    <w:p>
      <w:r>
        <w:t>式中，T为秒；Harness任务预算默认600秒，配置夹限60至900秒。超时看门狗另留20秒回收余量。</w:t>
      </w:r>
    </w:p>
    <w:p>
      <w:pPr>
        <w:keepNext/>
        <w:jc w:val="center"/>
      </w:pPr>
      <m:oMath>
        <m:sSub>
          <m:e>
            <m:r>
              <m:rPr>
                <m:sty m:val="p"/>
              </m:rPr>
              <m:t>N</m:t>
            </m:r>
          </m:e>
          <m:sub>
            <m:r>
              <m:rPr>
                <m:sty m:val="p"/>
              </m:rPr>
              <m:t>running</m:t>
            </m:r>
          </m:sub>
        </m:sSub>
        <m:r>
          <m:rPr>
            <m:sty m:val="p"/>
          </m:rPr>
          <m:t> ≤ W ≤ C</m:t>
        </m:r>
      </m:oMath>
      <w:r>
        <w:rPr>
          <w:sz w:val="18"/>
        </w:rPr>
        <w:t xml:space="preserve">    （2）</w:t>
      </w:r>
    </w:p>
    <w:p>
      <w:r>
        <w:t>式中，W为执行线程数，C为任务容量。Windows默认W=2、C=4；上下文8192 token、单次生成上限768 token。Jetson计划为W=1、C=2、4096与512 token。</w:t>
      </w:r>
    </w:p>
    <w:p>
      <w:r>
        <w:t>上下文投影在小预算配置下删除无关几何信息，保留实体ID、业务状态和指标；资料截断必须标记，完整工具结果仍保存为审计事件。服务端最终核验不能完全消除模型幻觉，仍需展示来源和不确定性。</w:t>
      </w:r>
    </w:p>
    <w:p>
      <w:r>
        <w:t>快速环境总览匹配指定“分析农场当前环境与异常”问题，实际读取快照、核验配置阈值并检索资料后生成确定性摘要。2026年10月15日本轮截图已执行该路径，保存三个工具的过程与两条资料依据。该结果验证工具链和界面，不计作普通大模型生成式问答或响应速度验收；普通问题仍进入模型循环。</w:t>
      </w:r>
    </w:p>
    <w:p>
      <w:pPr>
        <w:pStyle w:val="Heading1"/>
      </w:pPr>
      <w:r>
        <w:t>4 知识图谱与证据检索</w:t>
      </w:r>
    </w:p>
    <w:p>
      <w:r>
        <w:t>多作物服务独立维护鸭梨、旱碱麦、金丝小枣和设施蔬菜知识范围。检查时节点/关系数分别为365/315、85/70、129/114和110/90；这些数量描述数据库内容，不代表全部知识通过地方专家验证。图谱显示直接查询Neo4j，不用假关系替代连接失败。</w:t>
      </w:r>
    </w:p>
    <w:p>
      <w:r>
        <w:t>GraphRAG链路为问题路由、结构化实体提取、规范实体对齐、图子图与向量文档双通道召回、证据准入、排序融合和有来源回答。图路径候选最长三跳，枚举最多100条、访问状态最多10000，防止组合爆炸。路径存在只证明知识库记录了关系，不证明当前地块因果关系成立。</w:t>
      </w:r>
    </w:p>
    <w:p>
      <w:pPr>
        <w:keepNext/>
        <w:jc w:val="center"/>
      </w:pPr>
      <m:oMath>
        <m:sSub>
          <m:e>
            <m:r>
              <m:rPr>
                <m:sty m:val="p"/>
              </m:rPr>
              <m:t>E</m:t>
            </m:r>
          </m:e>
          <m:sub>
            <m:r>
              <m:rPr>
                <m:sty m:val="p"/>
              </m:rPr>
              <m:t>accepted</m:t>
            </m:r>
          </m:sub>
        </m:sSub>
        <m:r>
          <m:rPr>
            <m:sty m:val="p"/>
          </m:rPr>
          <m:t> = {e ∈ </m:t>
        </m:r>
        <m:sSub>
          <m:e>
            <m:r>
              <m:rPr>
                <m:sty m:val="p"/>
              </m:rPr>
              <m:t>E</m:t>
            </m:r>
          </m:e>
          <m:sub>
            <m:r>
              <m:rPr>
                <m:sty m:val="p"/>
              </m:rPr>
              <m:t>candidates</m:t>
            </m:r>
          </m:sub>
        </m:sSub>
        <m:r>
          <m:rPr>
            <m:sty m:val="p"/>
          </m:rPr>
          <m:t> | A(e,q)=1}</m:t>
        </m:r>
      </m:oMath>
      <w:r>
        <w:rPr>
          <w:sz w:val="18"/>
        </w:rPr>
        <w:t xml:space="preserve">    （3）</w:t>
      </w:r>
    </w:p>
    <w:p>
      <w:r>
        <w:t>式中，A为证据准入规则，检查作物、区域、阶段、器官、来源定位、证据等级和审核状态；不满足准入的候选不得因相关性高而重新入选。</w:t>
      </w:r>
    </w:p>
    <w:p>
      <w:r>
        <w:t>文档要求可定位来源，排除布局待复核内容；图路径要求边的evidence_ids、locator与已读取来源，检查审核状态和阶段转换。research模式可展示待迁移研究证据并告知限制，strict模式更严格约束适用范围。</w:t>
      </w:r>
    </w:p>
    <w:p>
      <w:pPr>
        <w:keepNext/>
        <w:jc w:val="center"/>
      </w:pPr>
      <m:oMath>
        <m:sSub>
          <m:e>
            <m:r>
              <m:rPr>
                <m:sty m:val="p"/>
              </m:rPr>
              <m:t>s</m:t>
            </m:r>
          </m:e>
          <m:sub>
            <m:r>
              <m:rPr>
                <m:sty m:val="p"/>
              </m:rPr>
              <m:t>lex</m:t>
            </m:r>
          </m:sub>
        </m:sSub>
        <m:r>
          <m:rPr>
            <m:sty m:val="p"/>
          </m:rPr>
          <m:t> = </m:t>
        </m:r>
        <m:f>
          <m:num>
            <m:r>
              <m:rPr>
                <m:sty m:val="p"/>
              </m:rPr>
              <m:t>|B(q) ∩ B(d)|</m:t>
            </m:r>
          </m:num>
          <m:den>
            <m:r>
              <m:rPr>
                <m:sty m:val="p"/>
              </m:rPr>
              <m:t>max(1, |B(q)|)</m:t>
            </m:r>
          </m:den>
        </m:f>
      </m:oMath>
      <w:r>
        <w:rPr>
          <w:sz w:val="18"/>
        </w:rPr>
        <w:t xml:space="preserve">    （4）</w:t>
      </w:r>
    </w:p>
    <w:p>
      <w:r>
        <w:t>式中，B为字符二元组集合。缺少重排权重或显式baseline模式时按此分数排序，分数不是神经重排概率。</w:t>
      </w:r>
    </w:p>
    <w:p>
      <w:pPr>
        <w:keepNext/>
        <w:jc w:val="center"/>
      </w:pPr>
      <m:oMath>
        <m:sSub>
          <m:e>
            <m:r>
              <m:rPr>
                <m:sty m:val="p"/>
              </m:rPr>
              <m:t>R</m:t>
            </m:r>
          </m:e>
          <m:sub>
            <m:r>
              <m:rPr>
                <m:sty m:val="p"/>
              </m:rPr>
              <m:t>i</m:t>
            </m:r>
          </m:sub>
        </m:sSub>
        <m:r>
          <m:rPr>
            <m:sty m:val="p"/>
          </m:rPr>
          <m:t> = </m:t>
        </m:r>
        <m:f>
          <m:num>
            <m:f>
              <m:num>
                <m:r>
                  <m:rPr>
                    <m:sty m:val="p"/>
                  </m:rPr>
                  <m:t>k+1</m:t>
                </m:r>
              </m:num>
              <m:den>
                <m:r>
                  <m:rPr>
                    <m:sty m:val="p"/>
                  </m:rPr>
                  <m:t>k+</m:t>
                </m:r>
                <m:sSub>
                  <m:e>
                    <m:r>
                      <m:rPr>
                        <m:sty m:val="p"/>
                      </m:rPr>
                      <m:t>r</m:t>
                    </m:r>
                  </m:e>
                  <m:sub>
                    <m:r>
                      <m:rPr>
                        <m:sty m:val="p"/>
                      </m:rPr>
                      <m:t>i</m:t>
                    </m:r>
                  </m:sub>
                </m:sSub>
              </m:den>
            </m:f>
            <m:r>
              <m:rPr>
                <m:sty m:val="p"/>
              </m:rPr>
              <m:t> + </m:t>
            </m:r>
            <m:f>
              <m:num>
                <m:r>
                  <m:rPr>
                    <m:sty m:val="p"/>
                  </m:rPr>
                  <m:t>k+1</m:t>
                </m:r>
              </m:num>
              <m:den>
                <m:r>
                  <m:rPr>
                    <m:sty m:val="p"/>
                  </m:rPr>
                  <m:t>k+</m:t>
                </m:r>
                <m:sSub>
                  <m:e>
                    <m:r>
                      <m:rPr>
                        <m:sty m:val="p"/>
                      </m:rPr>
                      <m:t>v</m:t>
                    </m:r>
                  </m:e>
                  <m:sub>
                    <m:r>
                      <m:rPr>
                        <m:sty m:val="p"/>
                      </m:rPr>
                      <m:t>i</m:t>
                    </m:r>
                  </m:sub>
                </m:sSub>
              </m:den>
            </m:f>
          </m:num>
          <m:den>
            <m:r>
              <m:rPr>
                <m:sty m:val="p"/>
              </m:rPr>
              <m:t>2</m:t>
            </m:r>
          </m:den>
        </m:f>
      </m:oMath>
      <w:r>
        <w:rPr>
          <w:sz w:val="18"/>
        </w:rPr>
        <w:t xml:space="preserve">    （5）</w:t>
      </w:r>
    </w:p>
    <w:p>
      <w:r>
        <w:t>式中，ri为重排或基线序号，vi为文档向量检索序号；图路径没有独立向量序号时vi取ri。当前k=60。</w:t>
      </w:r>
    </w:p>
    <w:p>
      <w:pPr>
        <w:keepNext/>
        <w:jc w:val="center"/>
      </w:pPr>
      <m:oMath>
        <m:sSub>
          <m:e>
            <m:r>
              <m:rPr>
                <m:sty m:val="p"/>
              </m:rPr>
              <m:t>S</m:t>
            </m:r>
          </m:e>
          <m:sub>
            <m:r>
              <m:rPr>
                <m:sty m:val="p"/>
              </m:rPr>
              <m:t>i</m:t>
            </m:r>
          </m:sub>
        </m:sSub>
        <m:r>
          <m:rPr>
            <m:sty m:val="p"/>
          </m:rPr>
          <m:t> = </m:t>
        </m:r>
        <m:sSub>
          <m:e>
            <m:r>
              <m:rPr>
                <m:sty m:val="p"/>
              </m:rPr>
              <m:t>R</m:t>
            </m:r>
          </m:e>
          <m:sub>
            <m:r>
              <m:rPr>
                <m:sty m:val="p"/>
              </m:rPr>
              <m:t>i</m:t>
            </m:r>
          </m:sub>
        </m:sSub>
        <m:r>
          <m:rPr>
            <m:sty m:val="p"/>
          </m:rPr>
          <m:t> [1−α+α </m:t>
        </m:r>
        <m:f>
          <m:num>
            <m:sSub>
              <m:e>
                <m:r>
                  <m:rPr>
                    <m:sty m:val="p"/>
                  </m:rPr>
                  <m:t>M</m:t>
                </m:r>
              </m:e>
              <m:sub>
                <m:r>
                  <m:rPr>
                    <m:sty m:val="p"/>
                  </m:rPr>
                  <m:t>i</m:t>
                </m:r>
              </m:sub>
            </m:sSub>
            <m:r>
              <m:rPr>
                <m:sty m:val="p"/>
              </m:rPr>
              <m:t>+</m:t>
            </m:r>
            <m:sSub>
              <m:e>
                <m:r>
                  <m:rPr>
                    <m:sty m:val="p"/>
                  </m:rPr>
                  <m:t>Q</m:t>
                </m:r>
              </m:e>
              <m:sub>
                <m:r>
                  <m:rPr>
                    <m:sty m:val="p"/>
                  </m:rPr>
                  <m:t>i</m:t>
                </m:r>
              </m:sub>
            </m:sSub>
          </m:num>
          <m:den>
            <m:r>
              <m:rPr>
                <m:sty m:val="p"/>
              </m:rPr>
              <m:t>2</m:t>
            </m:r>
          </m:den>
        </m:f>
        <m:r>
          <m:rPr>
            <m:sty m:val="p"/>
          </m:rPr>
          <m:t>]</m:t>
        </m:r>
      </m:oMath>
      <w:r>
        <w:rPr>
          <w:sz w:val="18"/>
        </w:rPr>
        <w:t xml:space="preserve">    （6）</w:t>
      </w:r>
    </w:p>
    <w:p>
      <w:r>
        <w:t>式中，Mi为非空适用范围匹配值中的最小值，缺省1；Qi为最弱证据等级权重，A=1、B=0.7、C=0.4，未知0；α默认0.10。</w:t>
      </w:r>
    </w:p>
    <w:p>
      <w:r>
        <w:t>融合后按分数降序截取5至10条；没有强制图谱配额。参数尚未独立验证集调优，排序分数不应展示为答案真实性概率。问答依赖模型服务，图谱能展示不意味着生成式问答可用。</w:t>
      </w:r>
    </w:p>
    <w:p>
      <w:pPr>
        <w:pStyle w:val="Heading1"/>
      </w:pPr>
      <w:r>
        <w:t>5 多作物视觉识别</w:t>
      </w:r>
    </w:p>
    <w:p>
      <w:r>
        <w:t>模型由地块作物和识别对象选择。梨包括公开叶片检测及分支症状分类；麦包括叶部类别、水分胁迫和麦穗检测；枣包括叶部、碰伤和新鲜度。本轮从多作物分支提取番茄叶片分类与果实成熟度两份冻结V1权重，接入主工作台视觉组件、Java路径白名单和统一Python服务。独立多作物页的设施蔬菜入口仍以知识服务为主；其旧版健康字段不能代替番茄专用健康接口。</w:t>
      </w:r>
    </w:p>
    <w:p>
      <w:r>
        <w:t>梨叶ONNX管线先校验模型SHA-256，应用EXIF方向并转RGB。图片超过2000万像素拒绝；最短边小于128、平均亮度低于15或高于245、灰度标准差小于5时进入需复核状态。此质量规则是低成本筛选，不是完整清晰度或病斑可见性模型。</w:t>
      </w:r>
    </w:p>
    <w:p>
      <w:pPr>
        <w:keepNext/>
        <w:jc w:val="center"/>
      </w:pPr>
      <m:oMath>
        <m:r>
          <m:rPr>
            <m:sty m:val="p"/>
          </m:rPr>
          <m:t>r = min(</m:t>
        </m:r>
        <m:f>
          <m:num>
            <m:r>
              <m:rPr>
                <m:sty m:val="p"/>
              </m:rPr>
              <m:t>640</m:t>
            </m:r>
          </m:num>
          <m:den>
            <m:r>
              <m:rPr>
                <m:sty m:val="p"/>
              </m:rPr>
              <m:t>W</m:t>
            </m:r>
          </m:den>
        </m:f>
        <m:r>
          <m:rPr>
            <m:sty m:val="p"/>
          </m:rPr>
          <m:t>, </m:t>
        </m:r>
        <m:f>
          <m:num>
            <m:r>
              <m:rPr>
                <m:sty m:val="p"/>
              </m:rPr>
              <m:t>640</m:t>
            </m:r>
          </m:num>
          <m:den>
            <m:r>
              <m:rPr>
                <m:sty m:val="p"/>
              </m:rPr>
              <m:t>H</m:t>
            </m:r>
          </m:den>
        </m:f>
        <m:r>
          <m:rPr>
            <m:sty m:val="p"/>
          </m:rPr>
          <m:t>)</m:t>
        </m:r>
      </m:oMath>
      <w:r>
        <w:rPr>
          <w:sz w:val="18"/>
        </w:rPr>
        <w:t xml:space="preserve">    （7）</w:t>
      </w:r>
    </w:p>
    <w:p>
      <w:r>
        <w:t>式中，W、H是原图像素宽高；输入为640×640，缩放保持宽高比例，剩余区域以RGB(114,114,114)填充。</w:t>
      </w:r>
    </w:p>
    <w:p>
      <w:pPr>
        <w:keepNext/>
        <w:jc w:val="center"/>
      </w:pPr>
      <m:oMath>
        <m:sSub>
          <m:e>
            <m:r>
              <m:rPr>
                <m:sty m:val="p"/>
              </m:rPr>
              <m:t>X</m:t>
            </m:r>
          </m:e>
          <m:sub>
            <m:r>
              <m:rPr>
                <m:sty m:val="p"/>
              </m:rPr>
              <m:t>input</m:t>
            </m:r>
          </m:sub>
        </m:sSub>
        <m:r>
          <m:rPr>
            <m:sty m:val="p"/>
          </m:rPr>
          <m:t> = </m:t>
        </m:r>
        <m:f>
          <m:num>
            <m:r>
              <m:rPr>
                <m:sty m:val="p"/>
              </m:rPr>
              <m:t>transpose(I padded)</m:t>
            </m:r>
          </m:num>
          <m:den>
            <m:r>
              <m:rPr>
                <m:sty m:val="p"/>
              </m:rPr>
              <m:t>255</m:t>
            </m:r>
          </m:den>
        </m:f>
      </m:oMath>
      <w:r>
        <w:rPr>
          <w:sz w:val="18"/>
        </w:rPr>
        <w:t xml:space="preserve">    （8）</w:t>
      </w:r>
    </w:p>
    <w:p>
      <w:r>
        <w:t>式中，输入形状为1×3×640×640的连续float32 NCHW数组。填充偏移取整，缩放后尺寸round。</w:t>
      </w:r>
    </w:p>
    <w:p>
      <w:pPr>
        <w:keepNext/>
        <w:jc w:val="center"/>
      </w:pPr>
      <m:oMath>
        <m:sSub>
          <m:e>
            <m:r>
              <m:rPr>
                <m:sty m:val="p"/>
              </m:rPr>
              <m:t>c</m:t>
            </m:r>
          </m:e>
          <m:sub>
            <m:r>
              <m:rPr>
                <m:sty m:val="p"/>
              </m:rPr>
              <m:t>i</m:t>
            </m:r>
          </m:sub>
        </m:sSub>
        <m:r>
          <m:rPr>
            <m:sty m:val="p"/>
          </m:rPr>
          <m:t> = argmaxₖ </m:t>
        </m:r>
        <m:sSub>
          <m:e>
            <m:r>
              <m:rPr>
                <m:sty m:val="p"/>
              </m:rPr>
              <m:t>z</m:t>
            </m:r>
          </m:e>
          <m:sub>
            <m:r>
              <m:rPr>
                <m:sty m:val="p"/>
              </m:rPr>
              <m:t>ik</m:t>
            </m:r>
          </m:sub>
        </m:sSub>
        <m:r>
          <m:rPr>
            <m:sty m:val="p"/>
          </m:rPr>
          <m:t>,    </m:t>
        </m:r>
        <m:sSub>
          <m:e>
            <m:r>
              <m:rPr>
                <m:sty m:val="p"/>
              </m:rPr>
              <m:t>s</m:t>
            </m:r>
          </m:e>
          <m:sub>
            <m:r>
              <m:rPr>
                <m:sty m:val="p"/>
              </m:rPr>
              <m:t>i</m:t>
            </m:r>
          </m:sub>
        </m:sSub>
        <m:r>
          <m:rPr>
            <m:sty m:val="p"/>
          </m:rPr>
          <m:t> = maxₖ </m:t>
        </m:r>
        <m:sSub>
          <m:e>
            <m:r>
              <m:rPr>
                <m:sty m:val="p"/>
              </m:rPr>
              <m:t>z</m:t>
            </m:r>
          </m:e>
          <m:sub>
            <m:r>
              <m:rPr>
                <m:sty m:val="p"/>
              </m:rPr>
              <m:t>ik</m:t>
            </m:r>
          </m:sub>
        </m:sSub>
      </m:oMath>
      <w:r>
        <w:rPr>
          <w:sz w:val="18"/>
        </w:rPr>
        <w:t xml:space="preserve">    （9）</w:t>
      </w:r>
    </w:p>
    <w:p>
      <w:r>
        <w:t>式中，固定YOLOv8输出为[1,4+C,N]，该导出没有独立objectness；si直接取类别最高分，默认门限0.55。</w:t>
      </w:r>
    </w:p>
    <w:p>
      <w:pPr>
        <w:keepNext/>
        <w:jc w:val="center"/>
      </w:pPr>
      <m:oMath>
        <m:r>
          <m:rPr>
            <m:sty m:val="p"/>
          </m:rPr>
          <m:t>IoU(A,B) = </m:t>
        </m:r>
        <m:f>
          <m:num>
            <m:r>
              <m:rPr>
                <m:sty m:val="p"/>
              </m:rPr>
              <m:t>|A∩B|</m:t>
            </m:r>
          </m:num>
          <m:den>
            <m:r>
              <m:rPr>
                <m:sty m:val="p"/>
              </m:rPr>
              <m:t>|A|+|B|−|A∩B|</m:t>
            </m:r>
          </m:den>
        </m:f>
      </m:oMath>
      <w:r>
        <w:rPr>
          <w:sz w:val="18"/>
        </w:rPr>
        <w:t xml:space="preserve">    （10）</w:t>
      </w:r>
    </w:p>
    <w:p>
      <w:r>
        <w:t>式中，按分数稳定排序，只抑制同类IoU≥0.45的框；异类框保留，最多返回50个有效框，分母用1e−8防止除零。</w:t>
      </w:r>
    </w:p>
    <w:p>
      <w:pPr>
        <w:keepNext/>
        <w:jc w:val="center"/>
      </w:pPr>
      <m:oMath>
        <m:sSub>
          <m:e>
            <m:r>
              <m:rPr>
                <m:sty m:val="p"/>
              </m:rPr>
              <m:t>x</m:t>
            </m:r>
          </m:e>
          <m:sub>
            <m:r>
              <m:rPr>
                <m:sty m:val="p"/>
              </m:rPr>
              <m:t>original</m:t>
            </m:r>
          </m:sub>
        </m:sSub>
        <m:r>
          <m:rPr>
            <m:sty m:val="p"/>
          </m:rPr>
          <m:t> = clip(</m:t>
        </m:r>
        <m:f>
          <m:num>
            <m:sSub>
              <m:e>
                <m:r>
                  <m:rPr>
                    <m:sty m:val="p"/>
                  </m:rPr>
                  <m:t>x</m:t>
                </m:r>
              </m:e>
              <m:sub>
                <m:r>
                  <m:rPr>
                    <m:sty m:val="p"/>
                  </m:rPr>
                  <m:t>padded</m:t>
                </m:r>
              </m:sub>
            </m:sSub>
            <m:r>
              <m:rPr>
                <m:sty m:val="p"/>
              </m:rPr>
              <m:t>−left</m:t>
            </m:r>
          </m:num>
          <m:den>
            <m:r>
              <m:rPr>
                <m:sty m:val="p"/>
              </m:rPr>
              <m:t>r</m:t>
            </m:r>
          </m:den>
        </m:f>
        <m:r>
          <m:rPr>
            <m:sty m:val="p"/>
          </m:rPr>
          <m:t>,0,W)</m:t>
        </m:r>
      </m:oMath>
      <w:r>
        <w:rPr>
          <w:sz w:val="18"/>
        </w:rPr>
        <w:t xml:space="preserve">    （11）</w:t>
      </w:r>
    </w:p>
    <w:p>
      <w:r>
        <w:t>式中，y同理使用top和H；框从中心宽高转为角点，再反缩放到原图。无有效检出返回NEEDS_REVIEW，不能判定健康。</w:t>
      </w:r>
    </w:p>
    <w:p>
      <w:r>
        <w:t>Python常驻工作进程一次加载模型和会话，逐请求返回随机请求ID、模型哈希、后端类型、耗时和候选框。Java验证请求ID，处理EOF与超时后销毁工作进程，下次请求重建。连续摄像头采样等待上一帧完成，再间隔5秒，不堆积实时视频帧。关闭弹窗、切换输入或进入后台释放摄像头轨道。</w:t>
      </w:r>
    </w:p>
    <w:p>
      <w:r>
        <w:t>视觉候选按标签和作物范围关联知识实体，预填鉴别条件和补充观测问题，没有匹配时明确提示。本轮数据工作台梨叶样例实际返回“虫害损伤（slug）”，显示关联知识记录及对应问题，供用户继续检索或交给Agent核验。人工复核独立保存，不覆盖模型原输出；分类置信度不等于地方准确率或疾病概率。番茄两份真实权重已通过加载、SHA256校验和推理接口检查，外部评估图片集与在线循证诊断仍需独立验收。</w:t>
      </w:r>
    </w:p>
    <w:p>
      <w:pPr>
        <w:pStyle w:val="Heading1"/>
      </w:pPr>
      <w:r>
        <w:t>6 观测与风险评估</w:t>
      </w:r>
    </w:p>
    <w:p>
      <w:r>
        <w:t>观测保存基地、指标、采样时间和来源。除自动演示与人工模拟记录外，本轮串口接口可接收经过校验的真实设备遥测并写入farm_observations，source记录为serial与设备ID；真实通信记录在设施侧栏独立展示，农场总览继续保留演示口径。历史接口最多返回240条，不补造过去记录；农场级观测不能代替每块地或每株作物独立测量。</w:t>
      </w:r>
    </w:p>
    <w:p>
      <w:pPr>
        <w:keepNext/>
        <w:jc w:val="center"/>
      </w:pPr>
      <m:oMath>
        <m:sSub>
          <m:e>
            <m:r>
              <m:rPr>
                <m:sty m:val="p"/>
              </m:rPr>
              <m:t>I</m:t>
            </m:r>
          </m:e>
          <m:sub>
            <m:r>
              <m:rPr>
                <m:sty m:val="p"/>
              </m:rPr>
              <m:t>low</m:t>
            </m:r>
          </m:sub>
        </m:sSub>
        <m:r>
          <m:rPr>
            <m:sty m:val="p"/>
          </m:rPr>
          <m:t> = 1[</m:t>
        </m:r>
        <m:sSub>
          <m:e>
            <m:r>
              <m:rPr>
                <m:sty m:val="p"/>
              </m:rPr>
              <m:t>m</m:t>
            </m:r>
          </m:e>
          <m:sub>
            <m:r>
              <m:rPr>
                <m:sty m:val="p"/>
              </m:rPr>
              <m:t>observed</m:t>
            </m:r>
          </m:sub>
        </m:sSub>
        <m:r>
          <m:rPr>
            <m:sty m:val="p"/>
          </m:rPr>
          <m:t> &lt; </m:t>
        </m:r>
        <m:sSub>
          <m:e>
            <m:r>
              <m:rPr>
                <m:sty m:val="p"/>
              </m:rPr>
              <m:t>m</m:t>
            </m:r>
          </m:e>
          <m:sub>
            <m:r>
              <m:rPr>
                <m:sty m:val="p"/>
              </m:rPr>
              <m:t>minimum</m:t>
            </m:r>
          </m:sub>
        </m:sSub>
        <m:r>
          <m:rPr>
            <m:sty m:val="p"/>
          </m:rPr>
          <m:t>]</m:t>
        </m:r>
      </m:oMath>
      <w:r>
        <w:rPr>
          <w:sz w:val="18"/>
        </w:rPr>
        <w:t xml:space="preserve">    （12）</w:t>
      </w:r>
    </w:p>
    <w:p>
      <w:r>
        <w:t>式中，1[条件]为指示函数。低于配置下限会提示复核，不自动证明缺水，也不直接执行真实设备。</w:t>
      </w:r>
    </w:p>
    <w:p>
      <w:pPr>
        <w:keepNext/>
        <w:jc w:val="center"/>
      </w:pPr>
      <m:oMath>
        <m:sSub>
          <m:e>
            <m:r>
              <m:rPr>
                <m:sty m:val="p"/>
              </m:rPr>
              <m:t>R</m:t>
            </m:r>
          </m:e>
          <m:sub>
            <m:r>
              <m:rPr>
                <m:sty m:val="p"/>
              </m:rPr>
              <m:t>plot</m:t>
            </m:r>
          </m:sub>
        </m:sSub>
        <m:r>
          <m:rPr>
            <m:sty m:val="p"/>
          </m:rPr>
          <m:t> = min(100, 20+20A+25·1[V&gt;0])</m:t>
        </m:r>
      </m:oMath>
      <w:r>
        <w:rPr>
          <w:sz w:val="18"/>
        </w:rPr>
        <w:t xml:space="preserve">    （13）</w:t>
      </w:r>
    </w:p>
    <w:p>
      <w:r>
        <w:t>式中，A为未处理地块告警数，V为最近有结果视觉记录的候选数量。这是当前关注指数公式，非概率模型。</w:t>
      </w:r>
    </w:p>
    <w:p>
      <w:pPr>
        <w:keepNext/>
        <w:jc w:val="center"/>
      </w:pPr>
      <m:oMath>
        <m:sSub>
          <m:e>
            <m:r>
              <m:rPr>
                <m:sty m:val="p"/>
              </m:rPr>
              <m:t>R</m:t>
            </m:r>
          </m:e>
          <m:sub>
            <m:r>
              <m:rPr>
                <m:sty m:val="p"/>
              </m:rPr>
              <m:t>simulation</m:t>
            </m:r>
          </m:sub>
        </m:sSub>
        <m:r>
          <m:rPr>
            <m:sty m:val="p"/>
          </m:rPr>
          <m:t> = max(0, </m:t>
        </m:r>
        <m:sSub>
          <m:e>
            <m:r>
              <m:rPr>
                <m:sty m:val="p"/>
              </m:rPr>
              <m:t>R</m:t>
            </m:r>
          </m:e>
          <m:sub>
            <m:r>
              <m:rPr>
                <m:sty m:val="p"/>
              </m:rPr>
              <m:t>plot</m:t>
            </m:r>
          </m:sub>
        </m:sSub>
        <m:r>
          <m:rPr>
            <m:sty m:val="p"/>
          </m:rPr>
          <m:t>−8u₁−5u₂−7u₃)</m:t>
        </m:r>
      </m:oMath>
      <w:r>
        <w:rPr>
          <w:sz w:val="18"/>
        </w:rPr>
        <w:t xml:space="preserve">    （14）</w:t>
      </w:r>
    </w:p>
    <w:p>
      <w:r>
        <w:t>式中，u1、u2、u3分别为视觉复核、通风/水分核验及分选贮藏核验是否选中，取0或1。扣分仅用于界面方案比较。</w:t>
      </w:r>
    </w:p>
    <w:p>
      <w:r>
        <w:t>当前低关注小于40、中关注40至64、高关注至少65。所谓因果与证据页面是观测和知识关系展示，不是通过干预数据识别因果效应。方案保存为农事记录，不自动执行设备。未来预测风险需要时序数据、独立验证和校准，不能把上述公式改名为AI病害概率。</w:t>
      </w:r>
    </w:p>
    <w:p>
      <w:pPr>
        <w:pStyle w:val="Heading1"/>
      </w:pPr>
      <w:r>
        <w:t>7 采后管理与追溯</w:t>
      </w:r>
    </w:p>
    <w:p>
      <w:r>
        <w:t>采后中心提供总览、采收、分选、贮藏、品质追溯与损耗管理。批次必须关联所属地块，数量大于零；流转按采收、分选、入库、出库顺序执行，每一步保存操作人、时间和说明。乐观锁与状态校验防止重复和越级流转。不同单位分别汇总，公斤与件不直接相加。</w:t>
      </w:r>
    </w:p>
    <w:p>
      <w:pPr>
        <w:keepNext/>
        <w:jc w:val="center"/>
      </w:pPr>
      <m:oMath>
        <m:sSub>
          <m:e>
            <m:r>
              <m:rPr>
                <m:sty m:val="p"/>
              </m:rPr>
              <m:t>L</m:t>
            </m:r>
          </m:e>
          <m:sub>
            <m:r>
              <m:rPr>
                <m:sty m:val="p"/>
              </m:rPr>
              <m:t>batch</m:t>
            </m:r>
          </m:sub>
        </m:sSub>
        <m:r>
          <m:rPr>
            <m:sty m:val="p"/>
          </m:rPr>
          <m:t> = </m:t>
        </m:r>
        <m:f>
          <m:num>
            <m:r>
              <m:rPr>
                <m:sty m:val="p"/>
              </m:rPr>
              <m:t>Σ </m:t>
            </m:r>
            <m:sSub>
              <m:e>
                <m:r>
                  <m:rPr>
                    <m:sty m:val="p"/>
                  </m:rPr>
                  <m:t>q</m:t>
                </m:r>
              </m:e>
              <m:sub>
                <m:r>
                  <m:rPr>
                    <m:sty m:val="p"/>
                  </m:rPr>
                  <m:t>loss</m:t>
                </m:r>
              </m:sub>
            </m:sSub>
          </m:num>
          <m:den>
            <m:sSub>
              <m:e>
                <m:r>
                  <m:rPr>
                    <m:sty m:val="p"/>
                  </m:rPr>
                  <m:t>q</m:t>
                </m:r>
              </m:e>
              <m:sub>
                <m:r>
                  <m:rPr>
                    <m:sty m:val="p"/>
                  </m:rPr>
                  <m:t>harvest</m:t>
                </m:r>
              </m:sub>
            </m:sSub>
          </m:den>
        </m:f>
        <m:r>
          <m:rPr>
            <m:sty m:val="p"/>
          </m:rPr>
          <m:t> × 100%</m:t>
        </m:r>
      </m:oMath>
      <w:r>
        <w:rPr>
          <w:sz w:val="18"/>
        </w:rPr>
        <w:t xml:space="preserve">    （15）</w:t>
      </w:r>
    </w:p>
    <w:p>
      <w:r>
        <w:t>式中，仅汇总该批次、同单位已登记损耗；没有损耗记录时显示未登记，不视为零。当前按一位小数展示。</w:t>
      </w:r>
    </w:p>
    <w:p>
      <w:r>
        <w:t>QRCode库生成应用内批次追溯链接，链接带postharvest=trace及batch ID。二维码不是截图拼贴；目标仍需可访问应用并满足登录条件。localhost链接仅本机有效，外部扫码展示必须配置可达服务地址与适当访问控制。出库不等于销售或消费者签收。</w:t>
      </w:r>
    </w:p>
    <w:p>
      <w:pPr>
        <w:keepNext/>
        <w:jc w:val="center"/>
      </w:pPr>
      <m:oMath>
        <m:sSub>
          <m:e>
            <m:r>
              <m:rPr>
                <m:sty m:val="p"/>
              </m:rPr>
              <m:t>Q</m:t>
            </m:r>
          </m:e>
          <m:sub>
            <m:r>
              <m:rPr>
                <m:sty m:val="p"/>
              </m:rPr>
              <m:t>free</m:t>
            </m:r>
          </m:sub>
        </m:sSub>
        <m:r>
          <m:rPr>
            <m:sty m:val="p"/>
          </m:rPr>
          <m:t> = </m:t>
        </m:r>
        <m:sSub>
          <m:e>
            <m:r>
              <m:rPr>
                <m:sty m:val="p"/>
              </m:rPr>
              <m:t>Q</m:t>
            </m:r>
          </m:e>
          <m:sub>
            <m:r>
              <m:rPr>
                <m:sty m:val="p"/>
              </m:rPr>
              <m:t>stock</m:t>
            </m:r>
          </m:sub>
        </m:sSub>
        <m:r>
          <m:rPr>
            <m:sty m:val="p"/>
          </m:rPr>
          <m:t>−</m:t>
        </m:r>
        <m:sSub>
          <m:e>
            <m:r>
              <m:rPr>
                <m:sty m:val="p"/>
              </m:rPr>
              <m:t>Q</m:t>
            </m:r>
          </m:e>
          <m:sub>
            <m:r>
              <m:rPr>
                <m:sty m:val="p"/>
              </m:rPr>
              <m:t>reserved</m:t>
            </m:r>
          </m:sub>
        </m:sSub>
      </m:oMath>
      <w:r>
        <w:rPr>
          <w:sz w:val="18"/>
        </w:rPr>
        <w:t xml:space="preserve">    （16）</w:t>
      </w:r>
    </w:p>
    <w:p>
      <w:r>
        <w:t>式中，运输建任务先检查未预留库存，随后增加reserved。装货时同时减少stock与reserved，卸货增加目的地stock并写INBOUND流水。</w:t>
      </w:r>
    </w:p>
    <w:p>
      <w:r>
        <w:t>运输库存与采后批次当前尚未联动。完整软件闭环应增加批次或物料ID、库位、运输单和幂等事件键，由卸货提交业务入库事件；运输失败需补偿预留和状态，避免一个模块成功另一个失败。本文将其列为后续工程，不描述为当前能力。</w:t>
      </w:r>
    </w:p>
    <w:p>
      <w:pPr>
        <w:pStyle w:val="Heading1"/>
      </w:pPr>
      <w:r>
        <w:t>8 道路约束与全局导航</w:t>
      </w:r>
    </w:p>
    <w:p>
      <w:r>
        <w:t>地图交互和导航仍使用1536×1024逻辑坐标，v6路网含24条批准路段与23个服务节点。当前资产类型为field或greenhouse的地块均参与禁行区检查，番茄大棚不会因类型变更而被运输规划忽略。路线连接道路边缘装卸点；底图为AI概念画面，坐标未经过GIS测绘。</w:t>
      </w:r>
    </w:p>
    <w:p>
      <w:pPr>
        <w:keepNext/>
        <w:jc w:val="center"/>
      </w:pPr>
      <m:oMath>
        <m:r>
          <m:rPr>
            <m:sty m:val="p"/>
          </m:rPr>
          <m:t>t = clip(</m:t>
        </m:r>
        <m:f>
          <m:num>
            <m:r>
              <m:rPr>
                <m:sty m:val="p"/>
              </m:rPr>
              <m:t>(p−a)·(b−a)</m:t>
            </m:r>
          </m:num>
          <m:den>
            <m:sSup>
              <m:e>
                <m:r>
                  <m:rPr>
                    <m:sty m:val="p"/>
                  </m:rPr>
                  <m:t>‖b−a‖</m:t>
                </m:r>
              </m:e>
              <m:sup>
                <m:r>
                  <m:rPr>
                    <m:sty m:val="p"/>
                  </m:rPr>
                  <m:t>2</m:t>
                </m:r>
              </m:sup>
            </m:sSup>
          </m:den>
        </m:f>
        <m:r>
          <m:rPr>
            <m:sty m:val="p"/>
          </m:rPr>
          <m:t>,0,1),    d = ‖p−(a+t(b−a))‖</m:t>
        </m:r>
      </m:oMath>
      <w:r>
        <w:rPr>
          <w:sz w:val="18"/>
        </w:rPr>
        <w:t xml:space="preserve">    （17）</w:t>
      </w:r>
    </w:p>
    <w:p>
      <w:r>
        <w:t>式中，d为点到线段最短距离；零长度线段直接取点距离。禁区包含检查用射线交叉奇偶规则。</w:t>
      </w:r>
    </w:p>
    <w:p>
      <w:pPr>
        <w:keepNext/>
        <w:jc w:val="center"/>
      </w:pPr>
      <m:oMath>
        <m:r>
          <m:rPr>
            <m:sty m:val="p"/>
          </m:rPr>
          <m:t>d(segment, keepout) &gt; </m:t>
        </m:r>
        <m:sSub>
          <m:e>
            <m:r>
              <m:rPr>
                <m:sty m:val="p"/>
              </m:rPr>
              <m:t>R</m:t>
            </m:r>
          </m:e>
          <m:sub>
            <m:r>
              <m:rPr>
                <m:sty m:val="p"/>
              </m:rPr>
              <m:t>safe</m:t>
            </m:r>
          </m:sub>
        </m:sSub>
      </m:oMath>
      <w:r>
        <w:rPr>
          <w:sz w:val="18"/>
        </w:rPr>
        <w:t xml:space="preserve">    （18）</w:t>
      </w:r>
    </w:p>
    <w:p>
      <w:r>
        <w:t>式中，车辆半径R=5图像单位；整个道路走廊合法性使用半宽8。检测端点、边相交和线段最小距离，边界接触也不通过。</w:t>
      </w:r>
    </w:p>
    <w:p>
      <w:pPr>
        <w:keepNext/>
        <w:jc w:val="center"/>
      </w:pPr>
      <m:oMath>
        <m:r>
          <m:rPr>
            <m:sty m:val="p"/>
          </m:rPr>
          <m:t>d(p, road) ≤ 8−5 = 3</m:t>
        </m:r>
      </m:oMath>
      <w:r>
        <w:rPr>
          <w:sz w:val="18"/>
        </w:rPr>
        <w:t xml:space="preserve">    （19）</w:t>
      </w:r>
    </w:p>
    <w:p>
      <w:r>
        <w:t>式中，局部运动中心必须留在道路中心线3单位范围内，确保车身仍在16单位宽走廊内；全局道路同时每3单位采样复核。</w:t>
      </w:r>
    </w:p>
    <w:p>
      <w:pPr>
        <w:keepNext/>
        <w:jc w:val="center"/>
      </w:pPr>
      <m:oMath>
        <m:r>
          <m:rPr>
            <m:sty m:val="p"/>
          </m:rPr>
          <m:t>f(n)=g(n)+h(n),    h(n)=</m:t>
        </m:r>
        <m:rad>
          <m:radPr>
            <m:degHide m:val="1"/>
          </m:radPr>
          <m:deg/>
          <m:e>
            <m:sSup>
              <m:e>
                <m:r>
                  <m:rPr>
                    <m:sty m:val="p"/>
                  </m:rPr>
                  <m:t>(xₙ−xg)</m:t>
                </m:r>
              </m:e>
              <m:sup>
                <m:r>
                  <m:rPr>
                    <m:sty m:val="p"/>
                  </m:rPr>
                  <m:t>2</m:t>
                </m:r>
              </m:sup>
            </m:sSup>
            <m:r>
              <m:rPr>
                <m:sty m:val="p"/>
              </m:rPr>
              <m:t>+</m:t>
            </m:r>
            <m:sSup>
              <m:e>
                <m:r>
                  <m:rPr>
                    <m:sty m:val="p"/>
                  </m:rPr>
                  <m:t>(yₙ−yg)</m:t>
                </m:r>
              </m:e>
              <m:sup>
                <m:r>
                  <m:rPr>
                    <m:sty m:val="p"/>
                  </m:rPr>
                  <m:t>2</m:t>
                </m:r>
              </m:sup>
            </m:sSup>
          </m:e>
        </m:rad>
      </m:oMath>
      <w:r>
        <w:rPr>
          <w:sz w:val="18"/>
        </w:rPr>
        <w:t xml:space="preserve">    （20）</w:t>
      </w:r>
    </w:p>
    <w:p>
      <w:r>
        <w:t>式中，g为累积欧氏路段长度，h为到目标的欧氏距离。只扩展未封闭且安全的边；该启发式对当前欧氏路网可采纳。</w:t>
      </w:r>
    </w:p>
    <w:p>
      <w:r>
        <w:t>A*通过cost、parent和visited保存状态，扫描开放节点选择最小f，再由parent回溯路线。当前小图使用扫描方式，不能引用优先队列实现的复杂度作为源码实测。无合法路径拒绝创建任务；已在节点且路段受阻可重新规划，在路段中受阻优先停车，不能直接切到旁边田地。</w:t>
      </w:r>
    </w:p>
    <w:p>
      <w:pPr>
        <w:pStyle w:val="Heading1"/>
      </w:pPr>
      <w:r>
        <w:t>9 局部运动与避障</w:t>
      </w:r>
    </w:p>
    <w:p>
      <w:r>
        <w:t>局部控制是受限DWA式速度采样，不是完整ROS Nav2导航栈。每500ms后台更新，时间步限制为0至1秒。候选线速度为0、12、24、36、48图像单位每秒，并依据剩余距离截断；角速度为−1.5、−0.75、0、0.75、1.5弧度每秒。每对速度进行五次子步预测。</w:t>
      </w:r>
    </w:p>
    <w:p>
      <w:pPr>
        <w:keepNext/>
        <w:jc w:val="center"/>
      </w:pPr>
      <m:oMath>
        <m:r>
          <m:rPr>
            <m:sty m:val="p"/>
          </m:rPr>
          <m:t>v ≤ min(48, </m:t>
        </m:r>
        <m:sSub>
          <m:e>
            <m:r>
              <m:rPr>
                <m:sty m:val="p"/>
              </m:rPr>
              <m:t>v</m:t>
            </m:r>
          </m:e>
          <m:sub>
            <m:r>
              <m:rPr>
                <m:sty m:val="p"/>
              </m:rPr>
              <m:t>current</m:t>
            </m:r>
          </m:sub>
        </m:sSub>
        <m:r>
          <m:rPr>
            <m:sty m:val="p"/>
          </m:rPr>
          <m:t>+24Δt)+0.01</m:t>
        </m:r>
      </m:oMath>
      <w:r>
        <w:rPr>
          <w:sz w:val="18"/>
        </w:rPr>
        <w:t xml:space="preserve">    （21）</w:t>
      </w:r>
    </w:p>
    <w:p>
      <w:r>
        <w:t>式中，24为加速上限的当前代码参数，0.01为比较容差；没有完整制动距离约束或角加速度窗口。</w:t>
      </w:r>
    </w:p>
    <w:p>
      <w:pPr>
        <w:keepNext/>
        <w:jc w:val="center"/>
      </w:pPr>
      <m:oMath>
        <m:sSub>
          <m:e>
            <m:r>
              <m:rPr>
                <m:sty m:val="p"/>
              </m:rPr>
              <m:t>θ</m:t>
            </m:r>
          </m:e>
          <m:sub>
            <m:r>
              <m:rPr>
                <m:sty m:val="p"/>
              </m:rPr>
              <m:t>j+1</m:t>
            </m:r>
          </m:sub>
        </m:sSub>
        <m:r>
          <m:rPr>
            <m:sty m:val="p"/>
          </m:rPr>
          <m:t> = </m:t>
        </m:r>
        <m:sSub>
          <m:e>
            <m:r>
              <m:rPr>
                <m:sty m:val="p"/>
              </m:rPr>
              <m:t>θ</m:t>
            </m:r>
          </m:e>
          <m:sub>
            <m:r>
              <m:rPr>
                <m:sty m:val="p"/>
              </m:rPr>
              <m:t>j</m:t>
            </m:r>
          </m:sub>
        </m:sSub>
        <m:r>
          <m:rPr>
            <m:sty m:val="p"/>
          </m:rPr>
          <m:t>+ωδt;    </m:t>
        </m:r>
        <m:sSub>
          <m:e>
            <m:r>
              <m:rPr>
                <m:sty m:val="p"/>
              </m:rPr>
              <m:t>x</m:t>
            </m:r>
          </m:e>
          <m:sub>
            <m:r>
              <m:rPr>
                <m:sty m:val="p"/>
              </m:rPr>
              <m:t>j+1</m:t>
            </m:r>
          </m:sub>
        </m:sSub>
        <m:r>
          <m:rPr>
            <m:sty m:val="p"/>
          </m:rPr>
          <m:t> = </m:t>
        </m:r>
        <m:sSub>
          <m:e>
            <m:r>
              <m:rPr>
                <m:sty m:val="p"/>
              </m:rPr>
              <m:t>x</m:t>
            </m:r>
          </m:e>
          <m:sub>
            <m:r>
              <m:rPr>
                <m:sty m:val="p"/>
              </m:rPr>
              <m:t>j</m:t>
            </m:r>
          </m:sub>
        </m:sSub>
        <m:r>
          <m:rPr>
            <m:sty m:val="p"/>
          </m:rPr>
          <m:t>+v cos(</m:t>
        </m:r>
        <m:sSub>
          <m:e>
            <m:r>
              <m:rPr>
                <m:sty m:val="p"/>
              </m:rPr>
              <m:t>θ</m:t>
            </m:r>
          </m:e>
          <m:sub>
            <m:r>
              <m:rPr>
                <m:sty m:val="p"/>
              </m:rPr>
              <m:t>j+1</m:t>
            </m:r>
          </m:sub>
        </m:sSub>
        <m:r>
          <m:rPr>
            <m:sty m:val="p"/>
          </m:rPr>
          <m:t>)δt</m:t>
        </m:r>
      </m:oMath>
      <w:r>
        <w:rPr>
          <w:sz w:val="18"/>
        </w:rPr>
        <w:t xml:space="preserve">    （22）</w:t>
      </w:r>
    </w:p>
    <w:p>
      <w:r>
        <w:t>式中，δt=Δt/5；y更新同理使用sin。实现先更新航向再更新位置，公式保持该离散顺序。</w:t>
      </w:r>
    </w:p>
    <w:p>
      <w:pPr>
        <w:keepNext/>
        <w:jc w:val="center"/>
      </w:pPr>
      <m:oMath>
        <m:r>
          <m:rPr>
            <m:sty m:val="p"/>
          </m:rPr>
          <m:t>J(v,ω)=d(</m:t>
        </m:r>
        <m:sSub>
          <m:e>
            <m:r>
              <m:rPr>
                <m:sty m:val="p"/>
              </m:rPr>
              <m:t>p</m:t>
            </m:r>
          </m:e>
          <m:sub>
            <m:r>
              <m:rPr>
                <m:sty m:val="p"/>
              </m:rPr>
              <m:t>end</m:t>
            </m:r>
          </m:sub>
        </m:sSub>
        <m:r>
          <m:rPr>
            <m:sty m:val="p"/>
          </m:rPr>
          <m:t>,goal)+2|ω|−0.02v</m:t>
        </m:r>
      </m:oMath>
      <w:r>
        <w:rPr>
          <w:sz w:val="18"/>
        </w:rPr>
        <w:t xml:space="preserve">    （23）</w:t>
      </w:r>
    </w:p>
    <w:p>
      <w:r>
        <w:t>式中，从通过道路、禁区和障碍约束的候选中取J最小者。系数为演示控制权重，不是独立调优结果。</w:t>
      </w:r>
    </w:p>
    <w:p>
      <w:pPr>
        <w:keepNext/>
        <w:jc w:val="center"/>
      </w:pPr>
      <m:oMath>
        <m:r>
          <m:rPr>
            <m:sty m:val="p"/>
          </m:rPr>
          <m:t>‖p−o‖ &gt; </m:t>
        </m:r>
        <m:sSub>
          <m:e>
            <m:r>
              <m:rPr>
                <m:sty m:val="p"/>
              </m:rPr>
              <m:t>r</m:t>
            </m:r>
          </m:e>
          <m:sub>
            <m:r>
              <m:rPr>
                <m:sty m:val="p"/>
              </m:rPr>
              <m:t>obstacle</m:t>
            </m:r>
          </m:sub>
        </m:sSub>
        <m:r>
          <m:rPr>
            <m:sty m:val="p"/>
          </m:rPr>
          <m:t>+5+2</m:t>
        </m:r>
      </m:oMath>
      <w:r>
        <w:rPr>
          <w:sz w:val="18"/>
        </w:rPr>
        <w:t xml:space="preserve">    （24）</w:t>
      </w:r>
    </w:p>
    <w:p>
      <w:r>
        <w:t>式中，2为障碍额外安全距离；预测每一子段连续检查田地扫掠，障碍使用圆形距离以及外层运动段检测。默认障碍半径12。</w:t>
      </w:r>
    </w:p>
    <w:p>
      <w:r>
        <w:t>路口先限幅调整航向，角度偏差超过0.15弧度时继续转向而不推进位置。所有候选不可行或最优速度为零时BLOCKED。动态障碍按服务路横向往返运动，若其下一段与车包络过近会回退偏移并改变方向；它不是感知到的真人轨迹预测。</w:t>
      </w:r>
    </w:p>
    <w:p>
      <w:r>
        <w:t>任务状态包括QUEUED、RUNNING、PAUSED、BLOCKED、WAIT_LOAD、WAIT_UNLOAD、COMPLETED和CANCELLED。自动装卸等待2秒后执行；急停禁止推进与交接，解除急停后仍需恢复任务。返航和空载巡航不改变库存。电量、充电和载荷均为软件参数，单任务上限500登记单位不等于真实额定载重。</w:t>
      </w:r>
    </w:p>
    <w:p>
      <w:pPr>
        <w:pStyle w:val="Heading1"/>
      </w:pPr>
      <w:r>
        <w:t>10 二维和三维同步表现</w:t>
      </w:r>
    </w:p>
    <w:p>
      <w:r>
        <w:t>服务端坐标、航向和lastTick是权威源，两个视图共用TransportPlayback。前端每250ms可能取得重复快照，重复key不会重新开始动画；按服务端时钟对齐快照，使用800ms播放缓冲抵抗网络到达抖动。</w:t>
      </w:r>
    </w:p>
    <w:p>
      <w:pPr>
        <w:keepNext/>
        <w:jc w:val="center"/>
      </w:pPr>
      <m:oMath>
        <m:r>
          <m:rPr>
            <m:sty m:val="p"/>
          </m:rPr>
          <m:t>u=clip(</m:t>
        </m:r>
        <m:f>
          <m:num>
            <m:r>
              <m:rPr>
                <m:sty m:val="p"/>
              </m:rPr>
              <m:t>t−800−</m:t>
            </m:r>
            <m:sSub>
              <m:e>
                <m:r>
                  <m:rPr>
                    <m:sty m:val="p"/>
                  </m:rPr>
                  <m:t>t</m:t>
                </m:r>
              </m:e>
              <m:sub>
                <m:r>
                  <m:rPr>
                    <m:sty m:val="p"/>
                  </m:rPr>
                  <m:t>a</m:t>
                </m:r>
              </m:sub>
            </m:sSub>
          </m:num>
          <m:den>
            <m:sSub>
              <m:e>
                <m:r>
                  <m:rPr>
                    <m:sty m:val="p"/>
                  </m:rPr>
                  <m:t>t</m:t>
                </m:r>
              </m:e>
              <m:sub>
                <m:r>
                  <m:rPr>
                    <m:sty m:val="p"/>
                  </m:rPr>
                  <m:t>b</m:t>
                </m:r>
              </m:sub>
            </m:sSub>
            <m:r>
              <m:rPr>
                <m:sty m:val="p"/>
              </m:rPr>
              <m:t>−</m:t>
            </m:r>
            <m:sSub>
              <m:e>
                <m:r>
                  <m:rPr>
                    <m:sty m:val="p"/>
                  </m:rPr>
                  <m:t>t</m:t>
                </m:r>
              </m:e>
              <m:sub>
                <m:r>
                  <m:rPr>
                    <m:sty m:val="p"/>
                  </m:rPr>
                  <m:t>a</m:t>
                </m:r>
              </m:sub>
            </m:sSub>
          </m:den>
        </m:f>
        <m:r>
          <m:rPr>
            <m:sty m:val="p"/>
          </m:rPr>
          <m:t>,0,1)</m:t>
        </m:r>
      </m:oMath>
      <w:r>
        <w:rPr>
          <w:sz w:val="18"/>
        </w:rPr>
        <w:t xml:space="preserve">    （25）</w:t>
      </w:r>
    </w:p>
    <w:p>
      <w:r>
        <w:t>式中，时间以毫秒计，ta、tb是对齐后的邻近快照；同一路段按长度插值，跨一个路口沿公共节点分段插值。</w:t>
      </w:r>
    </w:p>
    <w:p>
      <w:pPr>
        <w:keepNext/>
        <w:jc w:val="center"/>
      </w:pPr>
      <m:oMath>
        <m:r>
          <m:rPr>
            <m:sty m:val="p"/>
          </m:rPr>
          <m:t>θ(u)=</m:t>
        </m:r>
        <m:sSub>
          <m:e>
            <m:r>
              <m:rPr>
                <m:sty m:val="p"/>
              </m:rPr>
              <m:t>θ</m:t>
            </m:r>
          </m:e>
          <m:sub>
            <m:r>
              <m:rPr>
                <m:sty m:val="p"/>
              </m:rPr>
              <m:t>a</m:t>
            </m:r>
          </m:sub>
        </m:sSub>
        <m:r>
          <m:rPr>
            <m:sty m:val="p"/>
          </m:rPr>
          <m:t>+u atan2(sin(</m:t>
        </m:r>
        <m:sSub>
          <m:e>
            <m:r>
              <m:rPr>
                <m:sty m:val="p"/>
              </m:rPr>
              <m:t>θ</m:t>
            </m:r>
          </m:e>
          <m:sub>
            <m:r>
              <m:rPr>
                <m:sty m:val="p"/>
              </m:rPr>
              <m:t>b</m:t>
            </m:r>
          </m:sub>
        </m:sSub>
        <m:r>
          <m:rPr>
            <m:sty m:val="p"/>
          </m:rPr>
          <m:t>−</m:t>
        </m:r>
        <m:sSub>
          <m:e>
            <m:r>
              <m:rPr>
                <m:sty m:val="p"/>
              </m:rPr>
              <m:t>θ</m:t>
            </m:r>
          </m:e>
          <m:sub>
            <m:r>
              <m:rPr>
                <m:sty m:val="p"/>
              </m:rPr>
              <m:t>a</m:t>
            </m:r>
          </m:sub>
        </m:sSub>
        <m:r>
          <m:rPr>
            <m:sty m:val="p"/>
          </m:rPr>
          <m:t>),cos(</m:t>
        </m:r>
        <m:sSub>
          <m:e>
            <m:r>
              <m:rPr>
                <m:sty m:val="p"/>
              </m:rPr>
              <m:t>θ</m:t>
            </m:r>
          </m:e>
          <m:sub>
            <m:r>
              <m:rPr>
                <m:sty m:val="p"/>
              </m:rPr>
              <m:t>b</m:t>
            </m:r>
          </m:sub>
        </m:sSub>
        <m:r>
          <m:rPr>
            <m:sty m:val="p"/>
          </m:rPr>
          <m:t>−</m:t>
        </m:r>
        <m:sSub>
          <m:e>
            <m:r>
              <m:rPr>
                <m:sty m:val="p"/>
              </m:rPr>
              <m:t>θ</m:t>
            </m:r>
          </m:e>
          <m:sub>
            <m:r>
              <m:rPr>
                <m:sty m:val="p"/>
              </m:rPr>
              <m:t>a</m:t>
            </m:r>
          </m:sub>
        </m:sSub>
        <m:r>
          <m:rPr>
            <m:sty m:val="p"/>
          </m:rPr>
          <m:t>))</m:t>
        </m:r>
      </m:oMath>
      <w:r>
        <w:rPr>
          <w:sz w:val="18"/>
        </w:rPr>
        <w:t xml:space="preserve">    （26）</w:t>
      </w:r>
    </w:p>
    <w:p>
      <w:r>
        <w:t>式中，航向采用最短角差避免跨±π转整圈。地图更换、急停和无法确认的跨路段运动直接恢复确认位置，不外推穿田路线。</w:t>
      </w:r>
    </w:p>
    <w:p>
      <w:pPr>
        <w:keepNext/>
        <w:jc w:val="center"/>
      </w:pPr>
      <m:oMath>
        <m:r>
          <m:rPr>
            <m:sty m:val="p"/>
          </m:rPr>
          <m:t>Δφ = </m:t>
        </m:r>
        <m:f>
          <m:num>
            <m:r>
              <m:rPr>
                <m:sty m:val="p"/>
              </m:rPr>
              <m:t>Δs</m:t>
            </m:r>
          </m:num>
          <m:den>
            <m:r>
              <m:rPr>
                <m:sty m:val="p"/>
              </m:rPr>
              <m:t>r wheel</m:t>
            </m:r>
          </m:den>
        </m:f>
      </m:oMath>
      <w:r>
        <w:rPr>
          <w:sz w:val="18"/>
        </w:rPr>
        <w:t xml:space="preserve">    （27）</w:t>
      </w:r>
    </w:p>
    <w:p>
      <w:r>
        <w:t>式中，这是轮组滚动的几何关系；轮相位来自运动距离，转向及原地转动使用左右轮差，停止时不继续滚动。</w:t>
      </w:r>
    </w:p>
    <w:p>
      <w:r>
        <w:t>2D使用透明多角度图片，画布显示车身转向、轮毂滚动与方向帧过渡。图片中的箱子为示意，不完全表达空载内容。3D使用真实程序化几何、独立转向轮组和货物显隐，车长约2.08、宽1.47、高1.06世界单位，固定比例不随地图位置改变。</w:t>
      </w:r>
    </w:p>
    <w:p>
      <w:r>
        <w:t>imageToGround将逻辑底图坐标转换到园区地面，3D使用局部前向映射计算航向。鸭梨二号园保留yt-pear-02并改为番茄大棚，整体场景显示拱棚、作物行与吊蔓；内部四床八行共32株，每株具有稳定编号和演示档案。支持点选、近距离观察、WASD巡检和畦床碰撞约束。实景使用生成的单张宽幅农田底图，支持拖拽、滚轮缩放和边缘限制；概念画面不构成测绘结果。</w:t>
      </w:r>
    </w:p>
    <w:p>
      <w:pPr>
        <w:pStyle w:val="Heading1"/>
      </w:pPr>
      <w:r>
        <w:t>11 Windows构建与启动</w:t>
      </w:r>
    </w:p>
    <w:p>
      <w:r>
        <w:t>源码环境要求JDK 17及以上、Node 24及以上、Python 3.11、Docker Desktop和兼容模型服务。start.cmd对应start.ps1，读取未跟踪的.env.local，初始化数据库，安装Agent、视觉与多作物依赖，构建landing、frontend、vision-frontend，再启动Spring Boot。已经安装依赖时可使用-SkipBuild，不能把它用于全新安装。</w:t>
      </w:r>
    </w:p>
    <w:p>
      <w:r>
        <w:t>当前MySQL展示容器为agric-mysql，映射3307；不要默认连接其他项目的3306数据库。Neo4j默认本机7474，多作物Python默认127.0.0.1:8090，Java主程序8081。端口、密码、JWT密钥和模型地址由私有配置提供，文档不携带真实凭据。</w:t>
      </w:r>
    </w:p>
    <w:p>
      <w:r>
        <w:t>MultiCropRuntime在应用就绪及请求前检查本机服务，15秒监督一次，子进程退出后按冷却时间重启。仅管理本机HTTP配置，远程地址复用不拉起本地进程。默认Neo4j容器存在且停止时可docker start；首次容器创建与知识初始化仍由setup-multicrop负责，监督器不替代首次安装。</w:t>
      </w:r>
    </w:p>
    <w:p>
      <w:r>
        <w:t>知识页面使用有上限重试，约75秒总预算，切换作物或卸载页面取消旧请求。401/403/404等不作无限重试。运行诊断必须同时检查Java、数据库、配置模型、权重、Neo4j及Python，不能用/api/health的UP替代整个系统健康。</w:t>
      </w:r>
    </w:p>
    <w:p>
      <w:r>
        <w:t>构建顺序为三个前端npm ci与npm run build，再mvnw.cmd test和mvnw.cmd package。create-release.ps1与scripts/create-jetson-release.ps1复制指定JAR，默认不重建，也默认不包含多作物；完整包必须加-IncludeMultiCrop并检查模型与图谱数据。审计时已有JAR仍是10月12日版本，不能当作本技术基线最新包。</w:t>
      </w:r>
    </w:p>
    <w:p>
      <w:pPr>
        <w:pStyle w:val="Heading1"/>
      </w:pPr>
      <w:r>
        <w:t>12 Jetson推理部署</w:t>
      </w:r>
    </w:p>
    <w:p>
      <w:r>
        <w:t>展示选型为Jetson Orin Nano Super 8GB、主动散热和256GB NVMe。计划基线固定JetPack 6.2.1、L4T 36.4.4、Ubuntu 22.04 ARM64、CUDA 12.6和TensorRT 10.3。这是部署文档的适配目标，不是本项目已完成的实机兼容报告。浏览器优先在桌面端运行以减少共享内存竞争。</w:t>
      </w:r>
    </w:p>
    <w:p>
      <w:r>
        <w:t>计划本地模型为Qwen3 4B Q4_K_M，llama.cpp按SM87构建，控制上下文、生成量和并发。模型文件约2.5GB不等于总内存占用；KV缓存、Java、数据库、Neo4j、多作物权重和系统都共享8GB。缺少模型或板端内存数据时不能填写估计吞吐量作为结果。</w:t>
      </w:r>
    </w:p>
    <w:p>
      <w:r>
        <w:t>梨叶TensorRT路径固定输入形状、显式IO、复用CUDA流和缓冲区，前后处理仍在CPU。FP16引擎必须在目标板构建，记录ONNX及引擎哈希、TensorRT版本。显式选择TensorRT失败应报错，不把CPU回退冒充GPU执行。当前没有INT8校准、手写CUDA预处理、CUDA Graph或零拷贝CSI解码实现。</w:t>
      </w:r>
    </w:p>
    <w:p>
      <w:pPr>
        <w:keepNext/>
        <w:jc w:val="center"/>
      </w:pPr>
      <m:oMath>
        <m:sSub>
          <m:e>
            <m:r>
              <m:rPr>
                <m:sty m:val="p"/>
              </m:rPr>
              <m:t>T</m:t>
            </m:r>
          </m:e>
          <m:sub>
            <m:r>
              <m:rPr>
                <m:sty m:val="p"/>
              </m:rPr>
              <m:t>total</m:t>
            </m:r>
          </m:sub>
        </m:sSub>
        <m:r>
          <m:rPr>
            <m:sty m:val="p"/>
          </m:rPr>
          <m:t> = </m:t>
        </m:r>
        <m:sSub>
          <m:e>
            <m:r>
              <m:rPr>
                <m:sty m:val="p"/>
              </m:rPr>
              <m:t>T</m:t>
            </m:r>
          </m:e>
          <m:sub>
            <m:r>
              <m:rPr>
                <m:sty m:val="p"/>
              </m:rPr>
              <m:t>decode</m:t>
            </m:r>
          </m:sub>
        </m:sSub>
        <m:r>
          <m:rPr>
            <m:sty m:val="p"/>
          </m:rPr>
          <m:t>+</m:t>
        </m:r>
        <m:sSub>
          <m:e>
            <m:r>
              <m:rPr>
                <m:sty m:val="p"/>
              </m:rPr>
              <m:t>T</m:t>
            </m:r>
          </m:e>
          <m:sub>
            <m:r>
              <m:rPr>
                <m:sty m:val="p"/>
              </m:rPr>
              <m:t>pre</m:t>
            </m:r>
          </m:sub>
        </m:sSub>
        <m:r>
          <m:rPr>
            <m:sty m:val="p"/>
          </m:rPr>
          <m:t>+</m:t>
        </m:r>
        <m:sSub>
          <m:e>
            <m:r>
              <m:rPr>
                <m:sty m:val="p"/>
              </m:rPr>
              <m:t>T</m:t>
            </m:r>
          </m:e>
          <m:sub>
            <m:r>
              <m:rPr>
                <m:sty m:val="p"/>
              </m:rPr>
              <m:t>copy</m:t>
            </m:r>
          </m:sub>
        </m:sSub>
        <m:r>
          <m:rPr>
            <m:sty m:val="p"/>
          </m:rPr>
          <m:t>+</m:t>
        </m:r>
        <m:sSub>
          <m:e>
            <m:r>
              <m:rPr>
                <m:sty m:val="p"/>
              </m:rPr>
              <m:t>T</m:t>
            </m:r>
          </m:e>
          <m:sub>
            <m:r>
              <m:rPr>
                <m:sty m:val="p"/>
              </m:rPr>
              <m:t>infer</m:t>
            </m:r>
          </m:sub>
        </m:sSub>
        <m:r>
          <m:rPr>
            <m:sty m:val="p"/>
          </m:rPr>
          <m:t>+</m:t>
        </m:r>
        <m:sSub>
          <m:e>
            <m:r>
              <m:rPr>
                <m:sty m:val="p"/>
              </m:rPr>
              <m:t>T</m:t>
            </m:r>
          </m:e>
          <m:sub>
            <m:r>
              <m:rPr>
                <m:sty m:val="p"/>
              </m:rPr>
              <m:t>post</m:t>
            </m:r>
          </m:sub>
        </m:sSub>
      </m:oMath>
      <w:r>
        <w:rPr>
          <w:sz w:val="18"/>
        </w:rPr>
        <w:t xml:space="preserve">    （28）</w:t>
      </w:r>
    </w:p>
    <w:p>
      <w:r>
        <w:t>式中，总时延分解用于性能分析；当前pipeline计时字段不能单独证明CUDA复制时间，需要板端补测。</w:t>
      </w:r>
    </w:p>
    <w:p>
      <w:pPr>
        <w:keepNext/>
        <w:jc w:val="center"/>
      </w:pPr>
      <m:oMath>
        <m:r>
          <m:rPr>
            <m:sty m:val="p"/>
          </m:rPr>
          <m:t>IoU(</m:t>
        </m:r>
        <m:sSub>
          <m:e>
            <m:r>
              <m:rPr>
                <m:sty m:val="p"/>
              </m:rPr>
              <m:t>B</m:t>
            </m:r>
          </m:e>
          <m:sub>
            <m:r>
              <m:rPr>
                <m:sty m:val="p"/>
              </m:rPr>
              <m:t>CPU</m:t>
            </m:r>
          </m:sub>
        </m:sSub>
        <m:r>
          <m:rPr>
            <m:sty m:val="p"/>
          </m:rPr>
          <m:t>,</m:t>
        </m:r>
        <m:sSub>
          <m:e>
            <m:r>
              <m:rPr>
                <m:sty m:val="p"/>
              </m:rPr>
              <m:t>B</m:t>
            </m:r>
          </m:e>
          <m:sub>
            <m:r>
              <m:rPr>
                <m:sty m:val="p"/>
              </m:rPr>
              <m:t>GPU</m:t>
            </m:r>
          </m:sub>
        </m:sSub>
        <m:r>
          <m:rPr>
            <m:sty m:val="p"/>
          </m:rPr>
          <m:t>) ≥ 0.9,    |</m:t>
        </m:r>
        <m:sSub>
          <m:e>
            <m:r>
              <m:rPr>
                <m:sty m:val="p"/>
              </m:rPr>
              <m:t>s</m:t>
            </m:r>
          </m:e>
          <m:sub>
            <m:r>
              <m:rPr>
                <m:sty m:val="p"/>
              </m:rPr>
              <m:t>CPU</m:t>
            </m:r>
          </m:sub>
        </m:sSub>
        <m:r>
          <m:rPr>
            <m:sty m:val="p"/>
          </m:rPr>
          <m:t>−</m:t>
        </m:r>
        <m:sSub>
          <m:e>
            <m:r>
              <m:rPr>
                <m:sty m:val="p"/>
              </m:rPr>
              <m:t>s</m:t>
            </m:r>
          </m:e>
          <m:sub>
            <m:r>
              <m:rPr>
                <m:sty m:val="p"/>
              </m:rPr>
              <m:t>GPU</m:t>
            </m:r>
          </m:sub>
        </m:sSub>
        <m:r>
          <m:rPr>
            <m:sty m:val="p"/>
          </m:rPr>
          <m:t>| ≤ 0.03</m:t>
        </m:r>
      </m:oMath>
      <w:r>
        <w:rPr>
          <w:sz w:val="18"/>
        </w:rPr>
        <w:t xml:space="preserve">    （29）</w:t>
      </w:r>
    </w:p>
    <w:p>
      <w:r>
        <w:t>式中，CPU与GPU比较要求类别一致，并使用上述框和置信度阈值。数值一致性不等于诊断准确率。</w:t>
      </w:r>
    </w:p>
    <w:p>
      <w:r>
        <w:t>现有install-services.sh只启用agric和agric-llama，未安装启用agric-multicrop.service；Compose只有MySQL，未包含Neo4j。全功能Jetson部署还需要补齐多作物服务、持久目录与权限、Python ARM64依赖、全部权重兼容与启动顺序。未完成这些内容之前，不承诺开机即具备全部图谱与视觉功能。</w:t>
      </w:r>
    </w:p>
    <w:p>
      <w:pPr>
        <w:pStyle w:val="Heading1"/>
      </w:pPr>
      <w:r>
        <w:t>13 测试验收与性能</w:t>
      </w:r>
    </w:p>
    <w:tbl>
      <w:tblPr>
        <w:tblW w:type="auto" w:w="0"/>
        <w:tblLayout w:type="fixed"/>
        <w:tblLook w:firstColumn="1" w:firstRow="1" w:lastColumn="0" w:lastRow="0" w:noHBand="0" w:noVBand="1" w:val="04A0"/>
        <w:tblBorders>
          <w:top w:val="single" w:sz="4" w:color="D3D9D6"/>
          <w:left w:val="single" w:sz="4" w:color="D3D9D6"/>
          <w:bottom w:val="single" w:sz="4" w:color="D3D9D6"/>
          <w:right w:val="single" w:sz="4" w:color="D3D9D6"/>
          <w:insideH w:val="single" w:sz="4" w:color="D3D9D6"/>
          <w:insideV w:val="single" w:sz="4" w:color="D3D9D6"/>
        </w:tblBorders>
      </w:tblPr>
      <w:tblGrid>
        <w:gridCol w:w="1587"/>
        <w:gridCol w:w="3912"/>
        <w:gridCol w:w="3912"/>
      </w:tblGrid>
      <w:tr>
        <w:trPr>
          <w:cantSplit/>
          <w:tblHeader/>
          <w:tblHeader/>
          <w:cantSplit/>
        </w:trPr>
        <w:tc>
          <w:tcPr>
            <w:tcW w:type="dxa" w:w="1587"/>
            <w:tcBorders>
              <w:top w:val="single" w:sz="4" w:color="D9D9D9"/>
              <w:left w:val="single" w:sz="4" w:color="D9D9D9"/>
              <w:bottom w:val="single" w:sz="4" w:color="D9D9D9"/>
              <w:right w:val="single" w:sz="4" w:color="D9D9D9"/>
            </w:tcBorders>
            <w:shd w:fill="E8EDF0"/>
            <w:tcMar>
              <w:top w:w="100" w:type="dxa"/>
              <w:left w:w="100" w:type="dxa"/>
              <w:bottom w:w="100" w:type="dxa"/>
              <w:right w:w="100" w:type="dxa"/>
            </w:tcMar>
          </w:tcPr>
          <w:p>
            <w:pPr>
              <w:keepNext/>
              <w:spacing w:after="60" w:line="276" w:lineRule="auto"/>
            </w:pPr>
            <w:r>
              <w:rPr>
                <w:b/>
                <w:sz w:val="18"/>
              </w:rPr>
              <w:t>测试层</w:t>
            </w:r>
          </w:p>
        </w:tc>
        <w:tc>
          <w:tcPr>
            <w:tcW w:type="dxa" w:w="3912"/>
            <w:tcBorders>
              <w:top w:val="single" w:sz="4" w:color="D9D9D9"/>
              <w:left w:val="single" w:sz="4" w:color="D9D9D9"/>
              <w:bottom w:val="single" w:sz="4" w:color="D9D9D9"/>
              <w:right w:val="single" w:sz="4" w:color="D9D9D9"/>
            </w:tcBorders>
            <w:shd w:fill="E8EDF0"/>
            <w:tcMar>
              <w:top w:w="100" w:type="dxa"/>
              <w:left w:w="100" w:type="dxa"/>
              <w:bottom w:w="100" w:type="dxa"/>
              <w:right w:w="100" w:type="dxa"/>
            </w:tcMar>
          </w:tcPr>
          <w:p>
            <w:r>
              <w:t>验证证据与日期</w:t>
            </w:r>
          </w:p>
        </w:tc>
        <w:tc>
          <w:tcPr>
            <w:tcW w:type="dxa" w:w="3912"/>
            <w:tcBorders>
              <w:top w:val="single" w:sz="4" w:color="D9D9D9"/>
              <w:left w:val="single" w:sz="4" w:color="D9D9D9"/>
              <w:bottom w:val="single" w:sz="4" w:color="D9D9D9"/>
              <w:right w:val="single" w:sz="4" w:color="D9D9D9"/>
            </w:tcBorders>
            <w:shd w:fill="E8EDF0"/>
            <w:tcMar>
              <w:top w:w="100" w:type="dxa"/>
              <w:left w:w="100" w:type="dxa"/>
              <w:bottom w:w="100" w:type="dxa"/>
              <w:right w:w="100" w:type="dxa"/>
            </w:tcMar>
          </w:tcPr>
          <w:p>
            <w:pPr>
              <w:keepNext/>
              <w:spacing w:after="60" w:line="276" w:lineRule="auto"/>
            </w:pPr>
            <w:r>
              <w:rPr>
                <w:b/>
                <w:sz w:val="18"/>
              </w:rPr>
              <w:t>解释</w:t>
            </w:r>
          </w:p>
        </w:tc>
      </w:tr>
      <w:tr>
        <w:trPr>
          <w:cantSplit/>
          <w:cantSplit/>
        </w:trPr>
        <w:tc>
          <w:tcPr>
            <w:tcW w:type="dxa" w:w="158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Java</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47项通过 无失败与跳过</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独立tianyan_test，不操作演示库</w:t>
            </w:r>
          </w:p>
        </w:tc>
      </w:tr>
      <w:tr>
        <w:trPr>
          <w:cantSplit/>
          <w:cantSplit/>
        </w:trPr>
        <w:tc>
          <w:tcPr>
            <w:tcW w:type="dxa" w:w="1587"/>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运输前端</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15项Node测试通过</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方向 轮子 缓冲 模型与货物</w:t>
            </w:r>
          </w:p>
        </w:tc>
      </w:tr>
      <w:tr>
        <w:trPr>
          <w:cantSplit/>
          <w:cantSplit/>
        </w:trPr>
        <w:tc>
          <w:tcPr>
            <w:tcW w:type="dxa" w:w="158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Harness</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5项Node测试通过</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工具schema与快速路径 预算</w:t>
            </w:r>
          </w:p>
        </w:tc>
      </w:tr>
      <w:tr>
        <w:trPr>
          <w:cantSplit/>
          <w:cantSplit/>
        </w:trPr>
        <w:tc>
          <w:tcPr>
            <w:tcW w:type="dxa" w:w="1587"/>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视觉</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3项Python测试通过</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真实ONNX常驻进程与恢复</w:t>
            </w:r>
          </w:p>
        </w:tc>
      </w:tr>
      <w:tr>
        <w:trPr>
          <w:cantSplit/>
          <w:cantSplit/>
        </w:trPr>
        <w:tc>
          <w:tcPr>
            <w:tcW w:type="dxa" w:w="158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检索排序</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2项pytest通过</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PYTHONPATH需ai-service</w:t>
            </w:r>
          </w:p>
        </w:tc>
      </w:tr>
      <w:tr>
        <w:trPr>
          <w:cantSplit/>
          <w:cantSplit/>
        </w:trPr>
        <w:tc>
          <w:tcPr>
            <w:tcW w:type="dxa" w:w="1587"/>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浏览器</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主路由桌面1440与手机390检查</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无脚本错误与页面横向溢出</w:t>
            </w:r>
          </w:p>
        </w:tc>
      </w:tr>
      <w:tr>
        <w:trPr>
          <w:cantSplit/>
          <w:cantSplit/>
        </w:trPr>
        <w:tc>
          <w:tcPr>
            <w:tcW w:type="dxa" w:w="158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图谱</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四作物实际读取正常</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不替代模型问答验收</w:t>
            </w:r>
          </w:p>
        </w:tc>
      </w:tr>
      <w:tr>
        <w:trPr>
          <w:cantSplit/>
          <w:cantSplit/>
        </w:trPr>
        <w:tc>
          <w:tcPr>
            <w:tcW w:type="dxa" w:w="1587"/>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3D运输</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真实规划 隔离写入检查通过</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不宣称本轮实际库存全流程交付</w:t>
            </w:r>
          </w:p>
        </w:tc>
      </w:tr>
      <w:tr>
        <w:trPr>
          <w:cantSplit/>
        </w:trPr>
        <w:tc>
          <w:tcPr>
            <w:tcW w:type="dxa" w:w="1587"/>
          </w:tcPr>
          <w:p>
            <w:pPr>
              <w:keepNext w:val="0"/>
            </w:pPr>
            <w:r>
              <w:rPr>
                <w:sz w:val="18"/>
              </w:rPr>
              <w:t>本轮后端回归</w:t>
            </w:r>
          </w:p>
        </w:tc>
        <w:tc>
          <w:tcPr>
            <w:tcW w:type="dxa" w:w="3912"/>
          </w:tcPr>
          <w:p>
            <w:pPr>
              <w:keepNext w:val="0"/>
            </w:pPr>
            <w:r>
              <w:rPr>
                <w:sz w:val="18"/>
              </w:rPr>
              <w:t>20项相关回归通过</w:t>
            </w:r>
          </w:p>
        </w:tc>
        <w:tc>
          <w:tcPr>
            <w:tcW w:type="dxa" w:w="3912"/>
          </w:tcPr>
          <w:p>
            <w:pPr>
              <w:keepNext w:val="0"/>
            </w:pPr>
            <w:r>
              <w:rPr>
                <w:sz w:val="18"/>
              </w:rPr>
              <w:t>2026年10月15日 本轮明确测试范围</w:t>
            </w:r>
          </w:p>
        </w:tc>
      </w:tr>
      <w:tr>
        <w:trPr>
          <w:cantSplit/>
        </w:trPr>
        <w:tc>
          <w:tcPr>
            <w:tcW w:type="dxa" w:w="1587"/>
          </w:tcPr>
          <w:p>
            <w:pPr>
              <w:keepNext w:val="0"/>
            </w:pPr>
            <w:r>
              <w:rPr>
                <w:sz w:val="18"/>
              </w:rPr>
              <w:t>串口与固件</w:t>
            </w:r>
          </w:p>
        </w:tc>
        <w:tc>
          <w:tcPr>
            <w:tcW w:type="dxa" w:w="3912"/>
          </w:tcPr>
          <w:p>
            <w:pPr>
              <w:keepNext w:val="0"/>
            </w:pPr>
            <w:r>
              <w:rPr>
                <w:sz w:val="18"/>
              </w:rPr>
              <w:t>8项Python测试与C黄金报文通过</w:t>
            </w:r>
          </w:p>
        </w:tc>
        <w:tc>
          <w:tcPr>
            <w:tcW w:type="dxa" w:w="3912"/>
          </w:tcPr>
          <w:p>
            <w:pPr>
              <w:keepNext w:val="0"/>
            </w:pPr>
            <w:r>
              <w:rPr>
                <w:sz w:val="18"/>
              </w:rPr>
              <w:t>未接实体设备 不等于实机通过</w:t>
            </w:r>
          </w:p>
        </w:tc>
      </w:tr>
      <w:tr>
        <w:trPr>
          <w:cantSplit/>
        </w:trPr>
        <w:tc>
          <w:tcPr>
            <w:tcW w:type="dxa" w:w="1587"/>
          </w:tcPr>
          <w:p>
            <w:pPr>
              <w:keepNext w:val="0"/>
            </w:pPr>
            <w:r>
              <w:rPr>
                <w:sz w:val="18"/>
              </w:rPr>
              <w:t>本轮界面截图</w:t>
            </w:r>
          </w:p>
        </w:tc>
        <w:tc>
          <w:tcPr>
            <w:tcW w:type="dxa" w:w="3912"/>
          </w:tcPr>
          <w:p>
            <w:pPr>
              <w:keepNext w:val="0"/>
            </w:pPr>
            <w:r>
              <w:rPr>
                <w:sz w:val="18"/>
              </w:rPr>
              <w:t>梨叶结果 问农工具 采后追溯均实际取图</w:t>
            </w:r>
          </w:p>
        </w:tc>
        <w:tc>
          <w:tcPr>
            <w:tcW w:type="dxa" w:w="3912"/>
          </w:tcPr>
          <w:p>
            <w:pPr>
              <w:keepNext w:val="0"/>
            </w:pPr>
            <w:r>
              <w:rPr>
                <w:sz w:val="18"/>
              </w:rPr>
              <w:t>样例与业务数据为演示记录</w:t>
            </w:r>
          </w:p>
        </w:tc>
      </w:tr>
    </w:tbl>
    <w:p>
      <w:r>
        <w:t>本轮相关后端回归20项通过，覆盖设备遥测与回执、场景校准、运输几何、运输流转及多作物代理；串口Python测试8项通过，C编解码通过CRC、坏帧恢复与跨语言黄金报文检查。前端类型检查、构建及浏览器检查通过，32株档案可选。验证范围按测试集记录，未将历史47项回归与本轮20项相加为新的全量结果。</w:t>
      </w:r>
    </w:p>
    <w:p>
      <w:pPr>
        <w:keepNext/>
        <w:jc w:val="center"/>
      </w:pPr>
      <m:oMath>
        <m:sSub>
          <m:e>
            <m:r>
              <m:rPr>
                <m:sty m:val="p"/>
              </m:rPr>
              <m:t>P</m:t>
            </m:r>
          </m:e>
          <m:sub>
            <m:r>
              <m:rPr>
                <m:sty m:val="p"/>
              </m:rPr>
              <m:t>precision</m:t>
            </m:r>
          </m:sub>
        </m:sSub>
        <m:r>
          <m:rPr>
            <m:sty m:val="p"/>
          </m:rPr>
          <m:t> = </m:t>
        </m:r>
        <m:f>
          <m:num>
            <m:r>
              <m:rPr>
                <m:sty m:val="p"/>
              </m:rPr>
              <m:t>TP</m:t>
            </m:r>
          </m:num>
          <m:den>
            <m:r>
              <m:rPr>
                <m:sty m:val="p"/>
              </m:rPr>
              <m:t>TP+FP</m:t>
            </m:r>
          </m:den>
        </m:f>
        <m:r>
          <m:rPr>
            <m:sty m:val="p"/>
          </m:rPr>
          <m:t>,    </m:t>
        </m:r>
        <m:sSub>
          <m:e>
            <m:r>
              <m:rPr>
                <m:sty m:val="p"/>
              </m:rPr>
              <m:t>R</m:t>
            </m:r>
          </m:e>
          <m:sub>
            <m:r>
              <m:rPr>
                <m:sty m:val="p"/>
              </m:rPr>
              <m:t>recall</m:t>
            </m:r>
          </m:sub>
        </m:sSub>
        <m:r>
          <m:rPr>
            <m:sty m:val="p"/>
          </m:rPr>
          <m:t> = </m:t>
        </m:r>
        <m:f>
          <m:num>
            <m:r>
              <m:rPr>
                <m:sty m:val="p"/>
              </m:rPr>
              <m:t>TP</m:t>
            </m:r>
          </m:num>
          <m:den>
            <m:r>
              <m:rPr>
                <m:sty m:val="p"/>
              </m:rPr>
              <m:t>TP+FN</m:t>
            </m:r>
          </m:den>
        </m:f>
      </m:oMath>
      <w:r>
        <w:rPr>
          <w:sz w:val="18"/>
        </w:rPr>
        <w:t xml:space="preserve">    （30）</w:t>
      </w:r>
    </w:p>
    <w:p>
      <w:r>
        <w:t>式中，这是建议模型评测指标，不是已取得结果。需冻结测试集、明确类别与IoU匹配门限，避免同株或相邻视频帧跨训练与测试泄漏。</w:t>
      </w:r>
    </w:p>
    <w:p>
      <w:r>
        <w:t>分类应按类别报告混淆矩阵、准确率及F1；检测应报告mAP、召回与漏检，水分胁迫还需明确标签来源。置信度可校准性应独立评估。当前没有支持鸭梨地方独立诊断或全作物统一精度承诺的完整验收报告。</w:t>
      </w:r>
    </w:p>
    <w:p>
      <w:r>
        <w:t>性能报告需记录设备、功耗模式、温度、版本、模型哈希、分辨率、暖机与冷启动、样本数和并发。建议板端连续两小时无OOM、视觉暖机p95≤500ms、Agent单任务≤180秒均为待验收目标；不得写成已有实测。一般问答还应分别记录首token、总耗时、工具耗时和失败率。</w:t>
      </w:r>
    </w:p>
    <w:p>
      <w:pPr>
        <w:pStyle w:val="Heading1"/>
      </w:pPr>
      <w:r>
        <w:t>14 运维安全与演进</w:t>
      </w:r>
    </w:p>
    <w:p>
      <w:r>
        <w:t>密钥和数据库密码只放私有环境配置，发行包不得复制本地token、runtime.json中的秘密或用户数据。模型代理采用路径白名单，本机AI端口绑定回环；异机摄像头采样需可信HTTPS。当前共享演示权限应与生产租户权限区分，正式发行前要补基地成员授权、角色及审计。</w:t>
      </w:r>
    </w:p>
    <w:p>
      <w:r>
        <w:t>备份涵盖数据库和视觉原图并带SHA-256清单，备份前暂停写入，恢复到新空库与新目录，不覆盖运行库。当前Hibernate ddl-auto=update，跨版本回滚不能只换JAR；必须匹配数据库快照，后续引入版本化迁移。日志需要轮转，状态数据和模型文件需明确可写目录与备份责任。</w:t>
      </w:r>
    </w:p>
    <w:p>
      <w:r>
        <w:t>商业发行要整理原软件、公开权重、训练样本和生成素材的来源与许可，包含梨叶上游和Ultralytics AGPL相关文件。文档中的许可说明是工程清单，不替代对具体发行形式的审查。无需真实硬件展示并不意味着可以省略软件依赖与许可证交付。</w:t>
      </w:r>
    </w:p>
    <w:p>
      <w:r>
        <w:t>下一阶段优先完成具体设备型号、厂家协议与电气接口确认，开展固件烧录、串口断线与执行器联调；补充番茄独立评估集、其他设施蔬菜模型，以及普通模型问答和Jetson实机验收。运输与采后批次的自动联动、版本化迁移、租户权限和持续集成仍需后续工程。真实SLAM、ROS2实车导航和真实风险预测属于新增范围。</w:t>
      </w:r>
    </w:p>
    <w:p>
      <w:pPr>
        <w:pStyle w:val="Heading1"/>
      </w:pPr>
      <w:r>
        <w:t>15 串口设备通信与数据入库</w:t>
      </w:r>
    </w:p>
    <w:p>
      <w:r>
        <w:t>本轮按串口方向提供TY Serial v1，供自研固件采用。Python网关连接串口并转发至Java；C库提供编码、逐字节解码和CRC，模拟固件用于不接实体执行器的联调。串口只描述通信接口，TTL UART、RS232、RS485的电平与接线仍需按设备确认；未知厂家Modbus或私有寄存器协议需要单独适配。</w:t>
      </w:r>
    </w:p>
    <w:tbl>
      <w:tblPr>
        <w:tblW w:type="auto" w:w="0"/>
        <w:tblLook w:firstColumn="1" w:firstRow="1" w:lastColumn="0" w:lastRow="0" w:noHBand="0" w:noVBand="1" w:val="04A0"/>
        <w:tblBorders>
          <w:top w:val="single" w:sz="4" w:color="D3D9D6"/>
          <w:left w:val="single" w:sz="4" w:color="D3D9D6"/>
          <w:bottom w:val="single" w:sz="4" w:color="D3D9D6"/>
          <w:right w:val="single" w:sz="4" w:color="D3D9D6"/>
          <w:insideH w:val="single" w:sz="4" w:color="D3D9D6"/>
          <w:insideV w:val="single" w:sz="4" w:color="D3D9D6"/>
        </w:tblBorders>
      </w:tblPr>
      <w:tblGrid>
        <w:gridCol w:w="3137"/>
        <w:gridCol w:w="3137"/>
        <w:gridCol w:w="3137"/>
      </w:tblGrid>
      <w:tr>
        <w:trPr>
          <w:tblHeader/>
          <w:cantSplit/>
        </w:trPr>
        <w:tc>
          <w:tcPr>
            <w:tcW w:type="dxa" w:w="3137"/>
            <w:shd w:fill="E7EFEA"/>
          </w:tcPr>
          <w:p>
            <w:pPr>
              <w:keepNext/>
            </w:pPr>
            <w:r>
              <w:rPr>
                <w:b/>
                <w:sz w:val="18"/>
              </w:rPr>
              <w:t>字段</w:t>
            </w:r>
          </w:p>
        </w:tc>
        <w:tc>
          <w:tcPr>
            <w:tcW w:type="dxa" w:w="3137"/>
            <w:shd w:fill="E7EFEA"/>
          </w:tcPr>
          <w:p>
            <w:pPr>
              <w:keepNext/>
            </w:pPr>
            <w:r>
              <w:rPr>
                <w:b/>
                <w:sz w:val="18"/>
              </w:rPr>
              <w:t>长度与规则</w:t>
            </w:r>
          </w:p>
        </w:tc>
        <w:tc>
          <w:tcPr>
            <w:tcW w:type="dxa" w:w="3137"/>
            <w:shd w:fill="E7EFEA"/>
          </w:tcPr>
          <w:p>
            <w:pPr>
              <w:keepNext/>
            </w:pPr>
            <w:r>
              <w:rPr>
                <w:b/>
                <w:sz w:val="18"/>
              </w:rPr>
              <w:t>作用</w:t>
            </w:r>
          </w:p>
        </w:tc>
      </w:tr>
      <w:tr>
        <w:trPr>
          <w:cantSplit/>
        </w:trPr>
        <w:tc>
          <w:tcPr>
            <w:tcW w:type="dxa" w:w="3137"/>
          </w:tcPr>
          <w:p>
            <w:pPr>
              <w:keepNext w:val="0"/>
            </w:pPr>
            <w:r>
              <w:rPr>
                <w:sz w:val="18"/>
              </w:rPr>
              <w:t>帧头与版本</w:t>
            </w:r>
          </w:p>
        </w:tc>
        <w:tc>
          <w:tcPr>
            <w:tcW w:type="dxa" w:w="3137"/>
          </w:tcPr>
          <w:p>
            <w:pPr>
              <w:keepNext w:val="0"/>
            </w:pPr>
            <w:r>
              <w:rPr>
                <w:sz w:val="18"/>
              </w:rPr>
              <w:t>AA 55 与版本01</w:t>
            </w:r>
          </w:p>
        </w:tc>
        <w:tc>
          <w:tcPr>
            <w:tcW w:type="dxa" w:w="3137"/>
          </w:tcPr>
          <w:p>
            <w:pPr>
              <w:keepNext w:val="0"/>
            </w:pPr>
            <w:r>
              <w:rPr>
                <w:sz w:val="18"/>
              </w:rPr>
              <w:t>识别帧和协议版本</w:t>
            </w:r>
          </w:p>
        </w:tc>
      </w:tr>
      <w:tr>
        <w:trPr>
          <w:cantSplit/>
        </w:trPr>
        <w:tc>
          <w:tcPr>
            <w:tcW w:type="dxa" w:w="3137"/>
          </w:tcPr>
          <w:p>
            <w:pPr>
              <w:keepNext w:val="0"/>
            </w:pPr>
            <w:r>
              <w:rPr>
                <w:sz w:val="18"/>
              </w:rPr>
              <w:t>地址与类型</w:t>
            </w:r>
          </w:p>
        </w:tc>
        <w:tc>
          <w:tcPr>
            <w:tcW w:type="dxa" w:w="3137"/>
          </w:tcPr>
          <w:p>
            <w:pPr>
              <w:keepNext w:val="0"/>
            </w:pPr>
            <w:r>
              <w:rPr>
                <w:sz w:val="18"/>
              </w:rPr>
              <w:t>地址1至247 类型1至4</w:t>
            </w:r>
          </w:p>
        </w:tc>
        <w:tc>
          <w:tcPr>
            <w:tcW w:type="dxa" w:w="3137"/>
          </w:tcPr>
          <w:p>
            <w:pPr>
              <w:keepNext w:val="0"/>
            </w:pPr>
            <w:r>
              <w:rPr>
                <w:sz w:val="18"/>
              </w:rPr>
              <w:t>遥测 指令 回执 预留HELLO</w:t>
            </w:r>
          </w:p>
        </w:tc>
      </w:tr>
      <w:tr>
        <w:trPr>
          <w:cantSplit/>
        </w:trPr>
        <w:tc>
          <w:tcPr>
            <w:tcW w:type="dxa" w:w="3137"/>
          </w:tcPr>
          <w:p>
            <w:pPr>
              <w:keepNext w:val="0"/>
            </w:pPr>
            <w:r>
              <w:rPr>
                <w:sz w:val="18"/>
              </w:rPr>
              <w:t>序号与长度</w:t>
            </w:r>
          </w:p>
        </w:tc>
        <w:tc>
          <w:tcPr>
            <w:tcW w:type="dxa" w:w="3137"/>
          </w:tcPr>
          <w:p>
            <w:pPr>
              <w:keepNext w:val="0"/>
            </w:pPr>
            <w:r>
              <w:rPr>
                <w:sz w:val="18"/>
              </w:rPr>
              <w:t>32位序号 16位载荷字节数</w:t>
            </w:r>
          </w:p>
        </w:tc>
        <w:tc>
          <w:tcPr>
            <w:tcW w:type="dxa" w:w="3137"/>
          </w:tcPr>
          <w:p>
            <w:pPr>
              <w:keepNext w:val="0"/>
            </w:pPr>
            <w:r>
              <w:rPr>
                <w:sz w:val="18"/>
              </w:rPr>
              <w:t>多字节小端 最大2048字节JSON</w:t>
            </w:r>
          </w:p>
        </w:tc>
      </w:tr>
      <w:tr>
        <w:trPr>
          <w:cantSplit/>
        </w:trPr>
        <w:tc>
          <w:tcPr>
            <w:tcW w:type="dxa" w:w="3137"/>
          </w:tcPr>
          <w:p>
            <w:pPr>
              <w:keepNext w:val="0"/>
            </w:pPr>
            <w:r>
              <w:rPr>
                <w:sz w:val="18"/>
              </w:rPr>
              <w:t>CRC</w:t>
            </w:r>
          </w:p>
        </w:tc>
        <w:tc>
          <w:tcPr>
            <w:tcW w:type="dxa" w:w="3137"/>
          </w:tcPr>
          <w:p>
            <w:pPr>
              <w:keepNext w:val="0"/>
            </w:pPr>
            <w:r>
              <w:rPr>
                <w:sz w:val="18"/>
              </w:rPr>
              <w:t>CRC16 Modbus 初值FFFF 多项式A001</w:t>
            </w:r>
          </w:p>
        </w:tc>
        <w:tc>
          <w:tcPr>
            <w:tcW w:type="dxa" w:w="3137"/>
          </w:tcPr>
          <w:p>
            <w:pPr>
              <w:keepNext w:val="0"/>
            </w:pPr>
            <w:r>
              <w:rPr>
                <w:sz w:val="18"/>
              </w:rPr>
              <w:t>覆盖版本至载荷末尾 低字节先发</w:t>
            </w:r>
          </w:p>
        </w:tc>
      </w:tr>
      <w:tr>
        <w:trPr>
          <w:cantSplit/>
        </w:trPr>
        <w:tc>
          <w:tcPr>
            <w:tcW w:type="dxa" w:w="3137"/>
          </w:tcPr>
          <w:p>
            <w:pPr>
              <w:keepNext w:val="0"/>
            </w:pPr>
            <w:r>
              <w:rPr>
                <w:sz w:val="18"/>
              </w:rPr>
              <w:t>串口参数</w:t>
            </w:r>
          </w:p>
        </w:tc>
        <w:tc>
          <w:tcPr>
            <w:tcW w:type="dxa" w:w="3137"/>
          </w:tcPr>
          <w:p>
            <w:pPr>
              <w:keepNext w:val="0"/>
            </w:pPr>
            <w:r>
              <w:rPr>
                <w:sz w:val="18"/>
              </w:rPr>
              <w:t>默认115200 8N1 无流控</w:t>
            </w:r>
          </w:p>
        </w:tc>
        <w:tc>
          <w:tcPr>
            <w:tcW w:type="dxa" w:w="3137"/>
          </w:tcPr>
          <w:p>
            <w:pPr>
              <w:keepNext w:val="0"/>
            </w:pPr>
            <w:r>
              <w:rPr>
                <w:sz w:val="18"/>
              </w:rPr>
              <w:t>按板卡与配置文件调整</w:t>
            </w:r>
          </w:p>
        </w:tc>
      </w:tr>
    </w:tbl>
    <w:p>
      <w:r>
        <w:t>遥测路径为串口接收、CRC与长度校验、SQLite持久化、带JWT的HTTP提交、指标与时间校验、事务入库。每包1至32项，不允许同指标重复或非有限值；设备和messageId构成去重边界。网络错误保留缓存，非法消息转入rejected表待复核；网关确认只表示本地持久化，不能等同于后端已入库。</w:t>
      </w:r>
    </w:p>
    <w:p>
      <w:r>
        <w:t>控制路径为创建持久化指令、网关取待发项、串口下发、设备回执、后端状态确认。requestId保证提交幂等；设备应持久化去重，避免重试重复驱动泵阀。网关每2秒重试，最多3次；后端指令60秒过期。状态为待下发、已回执、失败或超时，成功回执才更新平台设备开关状态。</w:t>
      </w:r>
    </w:p>
    <w:p>
      <w:r>
        <w:t>当前支持采样、自检、开关、档位和停止。持续时间为0至3600秒，设备端必须自行实现最大运行时间、定时关闭与看门狗。接口沿用项目JWT和共享基地模型，未新增设备独立证书或生产多租户授权。具体报文、单位范围、启动步骤、测试与限制见embedded/README.md。</w:t>
      </w:r>
    </w:p>
    <w:p>
      <w:r>
        <w:t>验证已覆盖拆包粘包、噪声恢复、CRC错误、截断帧超时、离线缓存、有界重试、重复消息和回执归属。实体板卡、现场线缆、厂家寄存器、实际采样精度和真实执行器均未联调，报告不将这些列为已完成验收。</w:t>
      </w:r>
    </w:p>
    <w:p>
      <w:pPr>
        <w:pStyle w:val="Heading1"/>
      </w:pPr>
      <w:r>
        <w:t>16 界面运行验证与截图</w:t>
      </w:r>
    </w:p>
    <w:p>
      <w:r>
        <w:t>截图1于2026年10月16日从数据工作台的地块详情中重新截取，截图2和截图3保留2026年10月15日的运行结果。使用独立tianyan_test数据库，梨叶图片来自仓库样例；结果通过真实后端接口取得，未修改页面文本或伪造接口返回。原始PNG另存于docs/截图/技术报告。</w:t>
      </w:r>
    </w:p>
    <w:p>
      <w:pPr>
        <w:pStyle w:val="Heading2"/>
        <w:pageBreakBefore w:val="0"/>
      </w:pPr>
      <w:r>
        <w:t>截图1 多作物研判与梨叶症状识别结果</w:t>
      </w:r>
    </w:p>
    <w:p>
      <w:pPr>
        <w:keepNext/>
        <w:jc w:val="center"/>
      </w:pPr>
      <w:r>
        <w:drawing>
          <wp:inline xmlns:a="http://schemas.openxmlformats.org/drawingml/2006/main" xmlns:pic="http://schemas.openxmlformats.org/drawingml/2006/picture">
            <wp:extent cx="5577840" cy="4648200"/>
            <wp:docPr id="1" name="Picture 1"/>
            <wp:cNvGraphicFramePr>
              <a:graphicFrameLocks noChangeAspect="1"/>
            </wp:cNvGraphicFramePr>
            <a:graphic>
              <a:graphicData uri="http://schemas.openxmlformats.org/drawingml/2006/picture">
                <pic:pic>
                  <pic:nvPicPr>
                    <pic:cNvPr id="0" name="截图1_多作物研判与梨叶症状识别结果.png"/>
                    <pic:cNvPicPr/>
                  </pic:nvPicPr>
                  <pic:blipFill>
                    <a:blip r:embed="rId11"/>
                    <a:stretch>
                      <a:fillRect/>
                    </a:stretch>
                  </pic:blipFill>
                  <pic:spPr>
                    <a:xfrm>
                      <a:off x="0" y="0"/>
                      <a:ext cx="5577840" cy="4648200"/>
                    </a:xfrm>
                    <a:prstGeom prst="rect"/>
                  </pic:spPr>
                </pic:pic>
              </a:graphicData>
            </a:graphic>
          </wp:inline>
        </w:drawing>
      </w:r>
    </w:p>
    <w:p>
      <w:pPr>
        <w:pStyle w:val="Caption"/>
        <w:jc w:val="center"/>
      </w:pPr>
      <w:r>
        <w:t>截图1 多作物研判与梨叶症状识别结果</w:t>
      </w:r>
    </w:p>
    <w:p>
      <w:r>
        <w:t>数据工作台选中鸭梨一号园，打开地块详情的“病虫害识别”页，使用示范图片调用真实梨叶分类权重，返回“虫害损伤”候选及识别分数。页面同时展示四项关联知识图谱记录，以及可继续检索和交给Agent核验的问题。分数仅表示模型对视觉类别的置信，不代表疾病概率或虫种确诊。</w:t>
      </w:r>
    </w:p>
    <w:p>
      <w:pPr>
        <w:pStyle w:val="Heading2"/>
        <w:pageBreakBefore/>
      </w:pPr>
      <w:r>
        <w:t>截图2 智能问农的任务执行过程与证据展示</w:t>
      </w:r>
    </w:p>
    <w:p>
      <w:pPr>
        <w:keepNext/>
        <w:jc w:val="center"/>
      </w:pPr>
      <w:r>
        <w:drawing>
          <wp:inline xmlns:a="http://schemas.openxmlformats.org/drawingml/2006/main" xmlns:pic="http://schemas.openxmlformats.org/drawingml/2006/picture">
            <wp:extent cx="5943600" cy="3962400"/>
            <wp:docPr id="2" name="Picture 2"/>
            <wp:cNvGraphicFramePr>
              <a:graphicFrameLocks noChangeAspect="1"/>
            </wp:cNvGraphicFramePr>
            <a:graphic>
              <a:graphicData uri="http://schemas.openxmlformats.org/drawingml/2006/picture">
                <pic:pic>
                  <pic:nvPicPr>
                    <pic:cNvPr id="0" name="截图2_智能问农的任务执行过程与证据展示.png"/>
                    <pic:cNvPicPr/>
                  </pic:nvPicPr>
                  <pic:blipFill>
                    <a:blip r:embed="rId12"/>
                    <a:stretch>
                      <a:fillRect/>
                    </a:stretch>
                  </pic:blipFill>
                  <pic:spPr>
                    <a:xfrm>
                      <a:off x="0" y="0"/>
                      <a:ext cx="5943600" cy="3962400"/>
                    </a:xfrm>
                    <a:prstGeom prst="rect"/>
                  </pic:spPr>
                </pic:pic>
              </a:graphicData>
            </a:graphic>
          </wp:inline>
        </w:drawing>
      </w:r>
    </w:p>
    <w:p>
      <w:pPr>
        <w:pStyle w:val="Caption"/>
        <w:jc w:val="center"/>
      </w:pPr>
      <w:r>
        <w:t>截图2 智能问农的任务执行过程与证据展示</w:t>
      </w:r>
    </w:p>
    <w:p>
      <w:r>
        <w:t>实际问题为“分析农场当前环境与异常，列出依据和缺少的数据”。任务记录三个完成的工具步骤，证据栏展示两条关键词检索资料。该任务走已实现的环境快速核验路径，验证数据读取、阈值核验、资料展示与事件留痕，不作为普通大模型问答验收。</w:t>
      </w:r>
    </w:p>
    <w:p>
      <w:pPr>
        <w:pStyle w:val="Heading2"/>
        <w:pageBreakBefore/>
      </w:pPr>
      <w:r>
        <w:t>截图3 采后批次登记与追溯链路</w:t>
      </w:r>
    </w:p>
    <w:p>
      <w:pPr>
        <w:keepNext/>
        <w:jc w:val="center"/>
      </w:pPr>
      <w:r>
        <w:drawing>
          <wp:inline xmlns:a="http://schemas.openxmlformats.org/drawingml/2006/main" xmlns:pic="http://schemas.openxmlformats.org/drawingml/2006/picture">
            <wp:extent cx="5943600" cy="6102096"/>
            <wp:docPr id="3" name="Picture 3"/>
            <wp:cNvGraphicFramePr>
              <a:graphicFrameLocks noChangeAspect="1"/>
            </wp:cNvGraphicFramePr>
            <a:graphic>
              <a:graphicData uri="http://schemas.openxmlformats.org/drawingml/2006/picture">
                <pic:pic>
                  <pic:nvPicPr>
                    <pic:cNvPr id="0" name="截图3_采后批次登记与追溯链路.png"/>
                    <pic:cNvPicPr/>
                  </pic:nvPicPr>
                  <pic:blipFill>
                    <a:blip r:embed="rId13"/>
                    <a:stretch>
                      <a:fillRect/>
                    </a:stretch>
                  </pic:blipFill>
                  <pic:spPr>
                    <a:xfrm>
                      <a:off x="0" y="0"/>
                      <a:ext cx="5943600" cy="6102096"/>
                    </a:xfrm>
                    <a:prstGeom prst="rect"/>
                  </pic:spPr>
                </pic:pic>
              </a:graphicData>
            </a:graphic>
          </wp:inline>
        </w:drawing>
      </w:r>
    </w:p>
    <w:p>
      <w:pPr>
        <w:pStyle w:val="Caption"/>
        <w:jc w:val="center"/>
      </w:pPr>
      <w:r>
        <w:t>截图3 采后批次登记与追溯链路</w:t>
      </w:r>
    </w:p>
    <w:p>
      <w:r>
        <w:t>批次“演示批次 鸭梨 20261015 A01”登记1200 kg，关联鸭梨一号园，按采收、分选、入库和出库顺序写入事件。界面显示批次编号、二维码、阶段和登记说明。数量、分级和库温为模拟录入，二维码目标需要登录并能访问当前服务，出库记录不代表真实销售。</w:t>
      </w:r>
    </w:p>
    <w:p>
      <w:pPr>
        <w:pStyle w:val="Heading1"/>
        <w:pageBreakBefore/>
      </w:pPr>
      <w:r>
        <w:t>附录 源码定位与维护入口</w:t>
      </w:r>
    </w:p>
    <w:tbl>
      <w:tblPr>
        <w:tblW w:type="auto" w:w="0"/>
        <w:tblLayout w:type="fixed"/>
        <w:tblLook w:firstColumn="1" w:firstRow="1" w:lastColumn="0" w:lastRow="0" w:noHBand="0" w:noVBand="1" w:val="04A0"/>
        <w:tblBorders>
          <w:top w:val="single" w:sz="4" w:color="D3D9D6"/>
          <w:left w:val="single" w:sz="4" w:color="D3D9D6"/>
          <w:bottom w:val="single" w:sz="4" w:color="D3D9D6"/>
          <w:right w:val="single" w:sz="4" w:color="D3D9D6"/>
          <w:insideH w:val="single" w:sz="4" w:color="D3D9D6"/>
          <w:insideV w:val="single" w:sz="4" w:color="D3D9D6"/>
        </w:tblBorders>
      </w:tblPr>
      <w:tblGrid>
        <w:gridCol w:w="1587"/>
        <w:gridCol w:w="3912"/>
        <w:gridCol w:w="3912"/>
      </w:tblGrid>
      <w:tr>
        <w:trPr>
          <w:cantSplit/>
          <w:tblHeader/>
          <w:tblHeader/>
          <w:cantSplit/>
        </w:trPr>
        <w:tc>
          <w:tcPr>
            <w:tcW w:type="dxa" w:w="1587"/>
            <w:tcBorders>
              <w:top w:val="single" w:sz="4" w:color="D9D9D9"/>
              <w:left w:val="single" w:sz="4" w:color="D9D9D9"/>
              <w:bottom w:val="single" w:sz="4" w:color="D9D9D9"/>
              <w:right w:val="single" w:sz="4" w:color="D9D9D9"/>
            </w:tcBorders>
            <w:shd w:fill="E8EDF0"/>
            <w:tcMar>
              <w:top w:w="100" w:type="dxa"/>
              <w:left w:w="100" w:type="dxa"/>
              <w:bottom w:w="100" w:type="dxa"/>
              <w:right w:w="100" w:type="dxa"/>
            </w:tcMar>
          </w:tcPr>
          <w:p>
            <w:pPr>
              <w:keepNext/>
              <w:spacing w:after="60" w:line="276" w:lineRule="auto"/>
            </w:pPr>
            <w:r>
              <w:rPr>
                <w:b/>
                <w:sz w:val="18"/>
              </w:rPr>
              <w:t>领域</w:t>
            </w:r>
          </w:p>
        </w:tc>
        <w:tc>
          <w:tcPr>
            <w:tcW w:type="dxa" w:w="3912"/>
            <w:tcBorders>
              <w:top w:val="single" w:sz="4" w:color="D9D9D9"/>
              <w:left w:val="single" w:sz="4" w:color="D9D9D9"/>
              <w:bottom w:val="single" w:sz="4" w:color="D9D9D9"/>
              <w:right w:val="single" w:sz="4" w:color="D9D9D9"/>
            </w:tcBorders>
            <w:shd w:fill="E8EDF0"/>
            <w:tcMar>
              <w:top w:w="100" w:type="dxa"/>
              <w:left w:w="100" w:type="dxa"/>
              <w:bottom w:w="100" w:type="dxa"/>
              <w:right w:w="100" w:type="dxa"/>
            </w:tcMar>
          </w:tcPr>
          <w:p>
            <w:pPr>
              <w:keepNext/>
              <w:spacing w:after="60" w:line="276" w:lineRule="auto"/>
            </w:pPr>
            <w:r>
              <w:rPr>
                <w:b/>
                <w:sz w:val="18"/>
              </w:rPr>
              <w:t>源码位置</w:t>
            </w:r>
          </w:p>
        </w:tc>
        <w:tc>
          <w:tcPr>
            <w:tcW w:type="dxa" w:w="3912"/>
            <w:tcBorders>
              <w:top w:val="single" w:sz="4" w:color="D9D9D9"/>
              <w:left w:val="single" w:sz="4" w:color="D9D9D9"/>
              <w:bottom w:val="single" w:sz="4" w:color="D9D9D9"/>
              <w:right w:val="single" w:sz="4" w:color="D9D9D9"/>
            </w:tcBorders>
            <w:shd w:fill="E8EDF0"/>
            <w:tcMar>
              <w:top w:w="100" w:type="dxa"/>
              <w:left w:w="100" w:type="dxa"/>
              <w:bottom w:w="100" w:type="dxa"/>
              <w:right w:w="100" w:type="dxa"/>
            </w:tcMar>
          </w:tcPr>
          <w:p>
            <w:pPr>
              <w:keepNext/>
              <w:spacing w:after="60" w:line="276" w:lineRule="auto"/>
            </w:pPr>
            <w:r>
              <w:rPr>
                <w:b/>
                <w:sz w:val="18"/>
              </w:rPr>
              <w:t>核对内容</w:t>
            </w:r>
          </w:p>
        </w:tc>
      </w:tr>
      <w:tr>
        <w:trPr>
          <w:cantSplit/>
          <w:cantSplit/>
        </w:trPr>
        <w:tc>
          <w:tcPr>
            <w:tcW w:type="dxa" w:w="158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Agent</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src/main/java/com/example/ty/agent 与 agent-runtime</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工具 预算 事件 结果核验 快速总览</w:t>
            </w:r>
          </w:p>
        </w:tc>
      </w:tr>
      <w:tr>
        <w:trPr>
          <w:cantSplit/>
          <w:cantSplit/>
        </w:trPr>
        <w:tc>
          <w:tcPr>
            <w:tcW w:type="dxa" w:w="1587"/>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图谱</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ai-service/graphrag 与 ai-service/graph_web</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准入 双召回 排序 问答</w:t>
            </w:r>
          </w:p>
        </w:tc>
      </w:tr>
      <w:tr>
        <w:trPr>
          <w:cantSplit/>
          <w:cantSplit/>
        </w:trPr>
        <w:tc>
          <w:tcPr>
            <w:tcW w:type="dxa" w:w="158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视觉</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vision-runtime/pipeline.py 与 tensorrt_backend.py</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缩放 NMS 常驻推理 GPU IO</w:t>
            </w:r>
          </w:p>
        </w:tc>
      </w:tr>
      <w:tr>
        <w:trPr>
          <w:cantSplit/>
          <w:cantSplit/>
        </w:trPr>
        <w:tc>
          <w:tcPr>
            <w:tcW w:type="dxa" w:w="1587"/>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作物视觉</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frontend/src/components/workspace/CropVisionWorkbench.vue</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地块权重与图谱问题</w:t>
            </w:r>
          </w:p>
        </w:tc>
      </w:tr>
      <w:tr>
        <w:trPr>
          <w:cantSplit/>
          <w:cantSplit/>
        </w:trPr>
        <w:tc>
          <w:tcPr>
            <w:tcW w:type="dxa" w:w="158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风险</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frontend/src/components/workspace/FarmRiskCenter.vue</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固定规则与方案扣分</w:t>
            </w:r>
          </w:p>
        </w:tc>
      </w:tr>
      <w:tr>
        <w:trPr>
          <w:cantSplit/>
          <w:cantSplit/>
        </w:trPr>
        <w:tc>
          <w:tcPr>
            <w:tcW w:type="dxa" w:w="1587"/>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采后</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PostHarvestCenter.vue 与 Java operations</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二维码 批次 乐观锁 流转</w:t>
            </w:r>
          </w:p>
        </w:tc>
      </w:tr>
      <w:tr>
        <w:trPr>
          <w:cantSplit/>
          <w:cantSplit/>
        </w:trPr>
        <w:tc>
          <w:tcPr>
            <w:tcW w:type="dxa" w:w="158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导航</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src/main/java/com/example/ty/transport/TransportService.java</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路图 几何约束 A* DWA 库存</w:t>
            </w:r>
          </w:p>
        </w:tc>
      </w:tr>
      <w:tr>
        <w:trPr>
          <w:cantSplit/>
          <w:cantSplit/>
        </w:trPr>
        <w:tc>
          <w:tcPr>
            <w:tcW w:type="dxa" w:w="1587"/>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同步</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transportPlayback.ts transportMotion.ts transportScene.ts</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合法分段插值 轮子 3D映射</w:t>
            </w:r>
          </w:p>
        </w:tc>
      </w:tr>
      <w:tr>
        <w:trPr>
          <w:cantSplit/>
          <w:cantSplit/>
        </w:trPr>
        <w:tc>
          <w:tcPr>
            <w:tcW w:type="dxa" w:w="1587"/>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启动</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start.ps1 setup-multicrop.ps1 MultiCropRuntime.java</w:t>
            </w:r>
          </w:p>
        </w:tc>
        <w:tc>
          <w:tcPr>
            <w:tcW w:type="dxa" w:w="3912"/>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keepNext w:val="0"/>
              <w:spacing w:after="60" w:line="276" w:lineRule="auto"/>
            </w:pPr>
            <w:r>
              <w:rPr>
                <w:b w:val="0"/>
                <w:sz w:val="18"/>
              </w:rPr>
              <w:t>安装 初始化 进程监督</w:t>
            </w:r>
          </w:p>
        </w:tc>
      </w:tr>
      <w:tr>
        <w:trPr>
          <w:cantSplit/>
          <w:cantSplit/>
        </w:trPr>
        <w:tc>
          <w:tcPr>
            <w:tcW w:type="dxa" w:w="1587"/>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Jetson</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deploy/jetson 与 docs/Jetson部署与验收.md</w:t>
            </w:r>
          </w:p>
        </w:tc>
        <w:tc>
          <w:tcPr>
            <w:tcW w:type="dxa" w:w="3912"/>
            <w:tcBorders>
              <w:top w:val="single" w:sz="4" w:color="D9D9D9"/>
              <w:left w:val="single" w:sz="4" w:color="D9D9D9"/>
              <w:bottom w:val="single" w:sz="4" w:color="D9D9D9"/>
              <w:right w:val="single" w:sz="4" w:color="D9D9D9"/>
            </w:tcBorders>
            <w:shd w:fill="F5F7F8"/>
            <w:tcMar>
              <w:top w:w="100" w:type="dxa"/>
              <w:left w:w="100" w:type="dxa"/>
              <w:bottom w:w="100" w:type="dxa"/>
              <w:right w:w="100" w:type="dxa"/>
            </w:tcMar>
          </w:tcPr>
          <w:p>
            <w:pPr>
              <w:keepNext w:val="0"/>
              <w:spacing w:after="60" w:line="276" w:lineRule="auto"/>
            </w:pPr>
            <w:r>
              <w:rPr>
                <w:b w:val="0"/>
                <w:sz w:val="18"/>
              </w:rPr>
              <w:t>目标栈 脚本与未验收范围</w:t>
            </w:r>
          </w:p>
        </w:tc>
      </w:tr>
      <w:tr>
        <w:trPr>
          <w:cantSplit/>
        </w:trPr>
        <w:tc>
          <w:tcPr>
            <w:tcW w:type="dxa" w:w="1587"/>
          </w:tcPr>
          <w:p>
            <w:pPr>
              <w:keepNext w:val="0"/>
            </w:pPr>
            <w:r>
              <w:rPr>
                <w:sz w:val="18"/>
              </w:rPr>
              <w:t>串口</w:t>
            </w:r>
          </w:p>
        </w:tc>
        <w:tc>
          <w:tcPr>
            <w:tcW w:type="dxa" w:w="3912"/>
          </w:tcPr>
          <w:p>
            <w:pPr>
              <w:keepNext w:val="0"/>
            </w:pPr>
            <w:r>
              <w:rPr>
                <w:sz w:val="18"/>
              </w:rPr>
              <w:t>embedded 与 Java embedded 包</w:t>
            </w:r>
          </w:p>
        </w:tc>
        <w:tc>
          <w:tcPr>
            <w:tcW w:type="dxa" w:w="3912"/>
          </w:tcPr>
          <w:p>
            <w:pPr>
              <w:keepNext w:val="0"/>
            </w:pPr>
            <w:r>
              <w:rPr>
                <w:sz w:val="18"/>
              </w:rPr>
              <w:t>帧校验 网关 回执 遥测 事务入库</w:t>
            </w:r>
          </w:p>
        </w:tc>
      </w:tr>
      <w:tr>
        <w:trPr>
          <w:cantSplit/>
        </w:trPr>
        <w:tc>
          <w:tcPr>
            <w:tcW w:type="dxa" w:w="1587"/>
          </w:tcPr>
          <w:p>
            <w:pPr>
              <w:keepNext w:val="0"/>
            </w:pPr>
            <w:r>
              <w:rPr>
                <w:sz w:val="18"/>
              </w:rPr>
              <w:t>番茄大棚</w:t>
            </w:r>
          </w:p>
        </w:tc>
        <w:tc>
          <w:tcPr>
            <w:tcW w:type="dxa" w:w="3912"/>
          </w:tcPr>
          <w:p>
            <w:pPr>
              <w:keepNext w:val="0"/>
            </w:pPr>
            <w:r>
              <w:rPr>
                <w:sz w:val="18"/>
              </w:rPr>
              <w:t>GreenhouseTwinScene.vue 与 greenhouseCropModels.ts</w:t>
            </w:r>
          </w:p>
        </w:tc>
        <w:tc>
          <w:tcPr>
            <w:tcW w:type="dxa" w:w="3912"/>
          </w:tcPr>
          <w:p>
            <w:pPr>
              <w:keepNext w:val="0"/>
            </w:pPr>
            <w:r>
              <w:rPr>
                <w:sz w:val="18"/>
              </w:rPr>
              <w:t>32株档案 锯齿复叶 巡检 与地图交互</w:t>
            </w:r>
          </w:p>
        </w:tc>
      </w:tr>
    </w:tbl>
    <w:p>
      <w:r>
        <w:t>源码与验证说明以2026年10月15日当前工作区为基准。原生Word公式（1）至（30）完整保留，涵盖预算、检索、视觉、风险、损耗、库存、几何、规划、运动、显示和验收。新增串口与大棚实现见embedded/README.md及docs/番茄大棚与串口改造.md。</w:t>
      </w:r>
    </w:p>
    <w:p>
      <w:r>
        <w:t>参考入口：docs/项目完成度审计_2026-10-14.md、docs/WJM分支分析与接入.md、docs/自动导航运输系统.md、docs/Jetson部署与验收.md、docs/软件演示交付检查.md。外部实现来源包括DeepSeek Harness SDK、Ultralytics YOLO、ONNX Runtime、NVIDIA TensorRT与llama.cpp；实际版本和哈希以锁文件、模型manifest和固定下载脚本为准。</w:t>
      </w:r>
    </w:p>
    <w:sectPr w:rsidR="00FC693F" w:rsidRPr="0006063C" w:rsidSect="00034616">
      <w:headerReference w:type="default" r:id="rId9"/>
      <w:footerReference w:type="default" r:id="rId10"/>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技术基线 2026年10月15日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盐田丰语  技术文档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eastAsia="微软雅黑"/>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eastAsia="微软雅黑"/>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eastAsia="微软雅黑"/>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eastAsia="微软雅黑"/>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eastAsia="微软雅黑"/>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番茄大棚 串口协议 实际界面截图与验证范围</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2.1</cp:version>
</cp:coreProperties>
</file>