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gx13iluto3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Date: 24-07-26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zgbssb8rdlz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Cognitive Edge Security – "Real-Time Adaptive Anomaly Detection with FPR-Guaranteed Thresholding and Lightweight Online Learning for 6G Edge Deployments"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Motivation: Saurabh’s adaptive threshold achieves high recall but suffers from FPR outliers (up to 0.34) in borderline windows (5–40% attack fraction). Furthermore, his baseline correlation matrix is static, ignoring benign traffic evolution (e.g., daily usage peaks). Finally, his SHAP drift detector uses a 1000-sample window, introducing latency unsuitable for sub-100ms 6G URLLC use cases. This direction shifts the focus from pure accuracy to deployability, latency, and stability at the RAN Edge/MEC.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Steps to follow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Online Correlation Baseline Drift Adaptation: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Replace the static benign correlation matrix with an Exponentially Weighted Moving Average (EWMA) update mechanism.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 a change-point detection algorithm (e.g., CUSUM) on the Frobenius divergence to reset the baseline only when benign traffic is confirmed, preventing attack contamination.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Precision-Constrained Threshold Optimization (Neyman-Pearson Criterion):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288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Reformulate the dynamic threshold optimizer. Instead of maximizing F1 in small windows (which causes FPR spikes), implement a constrained optimization: maximize Recall subject to </w:t>
      </w:r>
      <w:r w:rsidDel="00000000" w:rsidR="00000000" w:rsidRPr="00000000">
        <w:rPr>
          <w:rFonts w:ascii="Gungsuh" w:cs="Gungsuh" w:eastAsia="Gungsuh" w:hAnsi="Gungsuh"/>
          <w:color w:val="0f1115"/>
          <w:sz w:val="29"/>
          <w:szCs w:val="29"/>
          <w:rtl w:val="0"/>
        </w:rPr>
        <w:t xml:space="preserve">FPR≤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9"/>
          <w:szCs w:val="29"/>
          <w:rtl w:val="0"/>
        </w:rPr>
        <w:t xml:space="preserve">α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9"/>
          <w:szCs w:val="29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9"/>
          <w:szCs w:val="29"/>
          <w:rtl w:val="0"/>
        </w:rPr>
        <w:t xml:space="preserve">=0.05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Derive a closed-form solution or use grid search per window to strictly bound false alarms, addressing Saurabh’s explicit FPR limitation.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Real-Time SHAP Approximation for Low Latency: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Replace standard TreeExplainer with FastSHAP or LinearSHAP to reduce the computational overhead.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Reduce the SHAP drift detection window from 1000 to 50–100 samples using incremental Kendall tau updates. Compare the trade-off between detection sensitivity (number of flagged events) and latency.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 Distillation for Edge Deployment: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Use Knowledge Distillation to compress the XGBoost model (with 51 features + correlation graph) into a lightweight shallow neural network.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Deploy the distilled model on a simulated ARM-based Edge server and benchmark inference latency, memory footprint, and power consumption against the baseline cloud-based XGBoost.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Evaluation on Non-Stationary 6G Traffic Profiles: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Generate synthetic "normal" traffic variations (e.g., bursty mMTC, periodic URLLC) to challenge the online baseline updater.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 the FPR stability (variance) across 1000+ sliding windows, the detection latency (in milliseconds), and the F1-Precision trade-off under constrained FPR.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Contribution: A lightweight, cognitively adaptive security agent deployable at the 5G/6G Edge that maintains ultra-low FPR, adapts to dynamic user behavior, and achieves sub-100ms detection—filling the operational gap left by Saurabh's proof-of-concept.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