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Pr="00343BB9" w:rsidRDefault="004B26A8" w:rsidP="00BF2FA5">
            <w:pPr>
              <w:tabs>
                <w:tab w:val="left" w:pos="2127"/>
                <w:tab w:val="left" w:pos="9540"/>
              </w:tabs>
              <w:ind w:right="-6"/>
              <w:rPr>
                <w:rFonts w:ascii="Aptos" w:eastAsia="Times New Roman" w:hAnsi="Aptos" w:cs="Arial"/>
                <w:b/>
                <w:sz w:val="24"/>
              </w:rPr>
            </w:pPr>
            <w:r w:rsidRPr="00343BB9">
              <w:rPr>
                <w:rFonts w:ascii="Aptos" w:eastAsia="Times New Roman" w:hAnsi="Aptos" w:cs="Arial"/>
                <w:b/>
                <w:sz w:val="24"/>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5ECD3AC2" w14:textId="77777777" w:rsidR="004B26A8" w:rsidRDefault="004B26A8" w:rsidP="00BF2FA5">
            <w:pPr>
              <w:tabs>
                <w:tab w:val="left" w:pos="2127"/>
                <w:tab w:val="left" w:pos="9540"/>
              </w:tabs>
              <w:ind w:right="-6"/>
              <w:rPr>
                <w:rFonts w:ascii="Aptos" w:eastAsia="Times New Roman" w:hAnsi="Aptos" w:cs="Arial"/>
                <w:b/>
                <w:sz w:val="6"/>
                <w:szCs w:val="6"/>
              </w:rPr>
            </w:pPr>
          </w:p>
          <w:p w14:paraId="6F5B0C8A" w14:textId="77777777" w:rsidR="00343BB9" w:rsidRDefault="00343BB9" w:rsidP="00BF2FA5">
            <w:pPr>
              <w:tabs>
                <w:tab w:val="left" w:pos="2127"/>
                <w:tab w:val="left" w:pos="9540"/>
              </w:tabs>
              <w:ind w:right="-6"/>
              <w:rPr>
                <w:rFonts w:ascii="Aptos" w:eastAsia="Times New Roman" w:hAnsi="Aptos" w:cs="Arial"/>
                <w:b/>
                <w:sz w:val="6"/>
                <w:szCs w:val="6"/>
              </w:rPr>
            </w:pPr>
          </w:p>
          <w:p w14:paraId="0C945B2F" w14:textId="77777777" w:rsidR="00343BB9" w:rsidRDefault="00343BB9" w:rsidP="00BF2FA5">
            <w:pPr>
              <w:tabs>
                <w:tab w:val="left" w:pos="2127"/>
                <w:tab w:val="left" w:pos="9540"/>
              </w:tabs>
              <w:ind w:right="-6"/>
              <w:rPr>
                <w:rFonts w:ascii="Aptos" w:eastAsia="Times New Roman" w:hAnsi="Aptos" w:cs="Arial"/>
                <w:b/>
                <w:sz w:val="6"/>
                <w:szCs w:val="6"/>
              </w:rPr>
            </w:pPr>
          </w:p>
          <w:p w14:paraId="2E2EF4BF" w14:textId="77777777" w:rsidR="00343BB9" w:rsidRDefault="00343BB9" w:rsidP="00BF2FA5">
            <w:pPr>
              <w:tabs>
                <w:tab w:val="left" w:pos="2127"/>
                <w:tab w:val="left" w:pos="9540"/>
              </w:tabs>
              <w:ind w:right="-6"/>
              <w:rPr>
                <w:rFonts w:ascii="Aptos" w:eastAsia="Times New Roman" w:hAnsi="Aptos" w:cs="Arial"/>
                <w:b/>
                <w:sz w:val="6"/>
                <w:szCs w:val="6"/>
              </w:rPr>
            </w:pPr>
          </w:p>
          <w:p w14:paraId="1E02D2F8" w14:textId="77777777" w:rsidR="00343BB9" w:rsidRPr="00301891" w:rsidRDefault="00343BB9"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343BB9" w:rsidRDefault="00497804" w:rsidP="00BF2FA5">
            <w:pPr>
              <w:tabs>
                <w:tab w:val="left" w:pos="2127"/>
                <w:tab w:val="left" w:pos="9540"/>
              </w:tabs>
              <w:ind w:right="-6"/>
              <w:jc w:val="both"/>
              <w:rPr>
                <w:rFonts w:ascii="Aptos" w:eastAsia="Times New Roman" w:hAnsi="Aptos" w:cs="Arial"/>
                <w:sz w:val="18"/>
                <w:szCs w:val="18"/>
              </w:rPr>
            </w:pPr>
            <w:r w:rsidRPr="00343BB9">
              <w:rPr>
                <w:rFonts w:ascii="Aptos" w:hAnsi="Aptos" w:cs="Arial"/>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343BB9" w:rsidRDefault="00497804" w:rsidP="00BF2FA5">
            <w:pPr>
              <w:tabs>
                <w:tab w:val="left" w:pos="2127"/>
                <w:tab w:val="left" w:pos="9540"/>
              </w:tabs>
              <w:ind w:right="-6"/>
              <w:jc w:val="both"/>
              <w:rPr>
                <w:rFonts w:ascii="Aptos" w:eastAsia="Times New Roman" w:hAnsi="Aptos" w:cs="Arial"/>
                <w:sz w:val="18"/>
                <w:szCs w:val="18"/>
              </w:rPr>
            </w:pPr>
            <w:r w:rsidRPr="00343BB9">
              <w:rPr>
                <w:rFonts w:ascii="Aptos" w:eastAsia="Times New Roman" w:hAnsi="Aptos" w:cs="Arial"/>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343BB9" w:rsidRDefault="00497804" w:rsidP="00BF2FA5">
            <w:pPr>
              <w:tabs>
                <w:tab w:val="left" w:pos="2127"/>
                <w:tab w:val="left" w:pos="9540"/>
              </w:tabs>
              <w:ind w:right="-6"/>
              <w:jc w:val="both"/>
              <w:rPr>
                <w:rFonts w:ascii="Aptos" w:eastAsia="Times New Roman" w:hAnsi="Aptos" w:cs="Arial"/>
                <w:sz w:val="18"/>
                <w:szCs w:val="18"/>
              </w:rPr>
            </w:pPr>
            <w:r w:rsidRPr="00343BB9">
              <w:rPr>
                <w:rFonts w:ascii="Aptos" w:eastAsia="Times New Roman" w:hAnsi="Aptos" w:cs="Arial"/>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FE1C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FE1C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EC09A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FE1C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09D5C653" w:rsidR="00DA3E70" w:rsidRPr="00343BB9" w:rsidRDefault="003D40E7" w:rsidP="00EC09AB">
            <w:pPr>
              <w:tabs>
                <w:tab w:val="left" w:pos="205"/>
                <w:tab w:val="left" w:pos="772"/>
                <w:tab w:val="left" w:pos="8647"/>
              </w:tabs>
              <w:jc w:val="both"/>
              <w:rPr>
                <w:rFonts w:ascii="Aptos" w:eastAsia="Times New Roman" w:hAnsi="Aptos" w:cs="Arial"/>
                <w:sz w:val="24"/>
              </w:rPr>
            </w:pPr>
            <w:r w:rsidRPr="0089154B">
              <w:rPr>
                <w:rFonts w:ascii="Aptos" w:eastAsia="Times New Roman" w:hAnsi="Aptos" w:cs="Arial"/>
                <w:b/>
                <w:bCs/>
                <w:sz w:val="20"/>
                <w:szCs w:val="20"/>
              </w:rPr>
              <w:t>RESULTS_SUMMARY1_IN</w:t>
            </w:r>
            <w:r>
              <w:rPr>
                <w:rFonts w:ascii="Aptos" w:eastAsia="Times New Roman" w:hAnsi="Aptos" w:cs="Arial"/>
                <w:b/>
                <w:bCs/>
                <w:sz w:val="24"/>
              </w:rPr>
              <w:t xml:space="preserve"> </w:t>
            </w:r>
            <w:r w:rsidR="002B2B52" w:rsidRPr="00343BB9">
              <w:rPr>
                <w:rFonts w:ascii="Aptos" w:eastAsia="Times New Roman" w:hAnsi="Aptos" w:cs="Arial"/>
                <w:sz w:val="18"/>
                <w:szCs w:val="18"/>
              </w:rPr>
              <w:t>See reportable variants table below for details.</w:t>
            </w:r>
            <w:r w:rsidR="0004392B" w:rsidRPr="00343BB9">
              <w:rPr>
                <w:rFonts w:ascii="Aptos" w:eastAsia="Times New Roman" w:hAnsi="Aptos" w:cs="Arial"/>
                <w:sz w:val="18"/>
                <w:szCs w:val="18"/>
              </w:rPr>
              <w:t xml:space="preserve"> </w:t>
            </w:r>
            <w:r w:rsidR="00DA3E70" w:rsidRPr="00343BB9">
              <w:rPr>
                <w:rFonts w:ascii="Aptos" w:eastAsia="Times New Roman" w:hAnsi="Aptos" w:cs="Arial"/>
                <w:sz w:val="18"/>
                <w:szCs w:val="18"/>
              </w:rPr>
              <w:t>RESULTS_SUMMARY2_IN</w:t>
            </w:r>
          </w:p>
          <w:p w14:paraId="36A79722" w14:textId="77B7E067"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FE1C79">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4E3F40A" w:rsidR="009136AD" w:rsidRPr="001F4749" w:rsidRDefault="00E15334" w:rsidP="00EC09A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1FAA3C72"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 V</w:t>
      </w:r>
      <w:r w:rsidRPr="006309E3">
        <w:rPr>
          <w:rFonts w:ascii="Aptos" w:hAnsi="Aptos" w:cs="Arial"/>
          <w:bCs/>
          <w:sz w:val="16"/>
          <w:szCs w:val="16"/>
        </w:rPr>
        <w:t>ariants are assumed to be of somatic origin unless otherwise indicated in the variant detail</w:t>
      </w:r>
      <w:r>
        <w:rPr>
          <w:rFonts w:ascii="Aptos" w:hAnsi="Aptos" w:cs="Arial"/>
          <w:bCs/>
          <w:sz w:val="16"/>
          <w:szCs w:val="16"/>
        </w:rPr>
        <w:t>.</w:t>
      </w:r>
    </w:p>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A7D1F7A" w14:textId="2089B8D6"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4703933E" w:rsidR="00F569E6" w:rsidRPr="00A4706B" w:rsidRDefault="00F569E6"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sidRPr="00A4706B">
              <w:rPr>
                <w:rFonts w:ascii="Aptos" w:eastAsia="DejaVu Sans" w:hAnsi="Aptos" w:cs="Arial"/>
                <w:b/>
                <w:color w:val="000000"/>
                <w:sz w:val="18"/>
                <w:szCs w:val="18"/>
              </w:rPr>
              <w:t xml:space="preserve">DDX41 Germline Variant Analysis: </w:t>
            </w:r>
            <w:r w:rsidR="008242F9" w:rsidRPr="00352E68">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33886983" w:rsidR="00603214" w:rsidRPr="001F4749" w:rsidRDefault="00603214" w:rsidP="00CD7EB4">
      <w:pPr>
        <w:tabs>
          <w:tab w:val="left" w:pos="8647"/>
          <w:tab w:val="left" w:pos="9540"/>
        </w:tabs>
        <w:spacing w:before="120" w:after="120"/>
        <w:jc w:val="both"/>
        <w:rPr>
          <w:rFonts w:ascii="Aptos" w:eastAsia="Times New Roman" w:hAnsi="Aptos" w:cs="Arial"/>
          <w:b/>
          <w:sz w:val="18"/>
          <w:szCs w:val="18"/>
        </w:rPr>
      </w:pPr>
      <w:r w:rsidRPr="001F4749">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1F4749">
        <w:rPr>
          <w:rFonts w:ascii="Aptos" w:hAnsi="Aptos" w:cs="Arial"/>
          <w:sz w:val="16"/>
          <w:szCs w:val="16"/>
        </w:rPr>
        <w:t>AllHaem</w:t>
      </w:r>
      <w:proofErr w:type="spellEnd"/>
      <w:r w:rsidRPr="001F4749">
        <w:rPr>
          <w:rFonts w:ascii="Aptos" w:hAnsi="Aptos" w:cs="Arial"/>
          <w:sz w:val="16"/>
          <w:szCs w:val="16"/>
        </w:rPr>
        <w:t xml:space="preserve"> DNA Twist v2, design ID TE-91041418) and sequenced on an Illumina </w:t>
      </w:r>
      <w:proofErr w:type="spellStart"/>
      <w:r w:rsidRPr="001F4749">
        <w:rPr>
          <w:rFonts w:ascii="Aptos" w:hAnsi="Aptos" w:cs="Arial"/>
          <w:sz w:val="16"/>
          <w:szCs w:val="16"/>
        </w:rPr>
        <w:t>NovaSeq</w:t>
      </w:r>
      <w:proofErr w:type="spellEnd"/>
      <w:r w:rsidRPr="001F4749">
        <w:rPr>
          <w:rFonts w:ascii="Aptos" w:hAnsi="Aptos" w:cs="Arial"/>
          <w:sz w:val="16"/>
          <w:szCs w:val="16"/>
        </w:rPr>
        <w:t xml:space="preserve"> X Plus (Australian Genome Research Facility) with 150 bp paired end reads. </w:t>
      </w:r>
      <w:bookmarkStart w:id="2" w:name="_Hlk177382982"/>
      <w:r w:rsidRPr="001F4749">
        <w:rPr>
          <w:rFonts w:ascii="Aptos" w:hAnsi="Aptos" w:cs="Arial"/>
          <w:sz w:val="16"/>
          <w:szCs w:val="16"/>
        </w:rPr>
        <w:t xml:space="preserve">A custom pipeline utilising the </w:t>
      </w:r>
      <w:proofErr w:type="spellStart"/>
      <w:r w:rsidRPr="001F4749">
        <w:rPr>
          <w:rFonts w:ascii="Aptos" w:hAnsi="Aptos" w:cs="Arial"/>
          <w:sz w:val="16"/>
          <w:szCs w:val="16"/>
        </w:rPr>
        <w:t>Oncoanalyser</w:t>
      </w:r>
      <w:proofErr w:type="spellEnd"/>
      <w:r w:rsidRPr="001F4749">
        <w:rPr>
          <w:rFonts w:ascii="Aptos" w:hAnsi="Aptos" w:cs="Arial"/>
          <w:sz w:val="16"/>
          <w:szCs w:val="16"/>
        </w:rPr>
        <w:t xml:space="preserve"> analysis pipeline (</w:t>
      </w:r>
      <w:proofErr w:type="spellStart"/>
      <w:r w:rsidRPr="001F4749">
        <w:rPr>
          <w:rFonts w:ascii="Aptos" w:hAnsi="Aptos" w:cs="Arial"/>
          <w:sz w:val="16"/>
          <w:szCs w:val="16"/>
        </w:rPr>
        <w:t>OncoPath</w:t>
      </w:r>
      <w:proofErr w:type="spellEnd"/>
      <w:r w:rsidRPr="001F4749">
        <w:rPr>
          <w:rFonts w:ascii="Aptos" w:hAnsi="Aptos" w:cs="Arial"/>
          <w:sz w:val="16"/>
          <w:szCs w:val="16"/>
        </w:rPr>
        <w:t xml:space="preserve"> v1) is used to generate aligned reads and call variants (single nucleotide variants and short insertions or deletions) against the hg19 human reference genome. </w:t>
      </w:r>
      <w:bookmarkEnd w:id="2"/>
      <w:r w:rsidRPr="001F4749">
        <w:rPr>
          <w:rFonts w:ascii="Aptos" w:hAnsi="Aptos" w:cs="Arial"/>
          <w:sz w:val="16"/>
          <w:szCs w:val="16"/>
        </w:rPr>
        <w:t xml:space="preserve">Variants are analysed using </w:t>
      </w:r>
      <w:proofErr w:type="spellStart"/>
      <w:r w:rsidRPr="001F4749">
        <w:rPr>
          <w:rFonts w:ascii="Aptos" w:hAnsi="Aptos" w:cs="Arial"/>
          <w:sz w:val="16"/>
          <w:szCs w:val="16"/>
        </w:rPr>
        <w:t>PathOS</w:t>
      </w:r>
      <w:proofErr w:type="spellEnd"/>
      <w:r w:rsidRPr="001F4749">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w:t>
      </w:r>
      <w:proofErr w:type="spellStart"/>
      <w:r w:rsidRPr="001F4749">
        <w:rPr>
          <w:rFonts w:ascii="Aptos" w:hAnsi="Aptos" w:cs="Arial"/>
          <w:sz w:val="16"/>
          <w:szCs w:val="16"/>
        </w:rPr>
        <w:t>gnomAD</w:t>
      </w:r>
      <w:proofErr w:type="spellEnd"/>
      <w:r w:rsidRPr="001F4749">
        <w:rPr>
          <w:rFonts w:ascii="Aptos" w:hAnsi="Aptos" w:cs="Arial"/>
          <w:sz w:val="16"/>
          <w:szCs w:val="16"/>
        </w:rPr>
        <w:t xml:space="preserve">; gnomad.broadinstitute.org), the Catalogue of Somatic Mutations in Cancer (COSMIC; cancer.sanger.ac.uk), </w:t>
      </w:r>
      <w:proofErr w:type="spellStart"/>
      <w:r w:rsidRPr="001F4749">
        <w:rPr>
          <w:rFonts w:ascii="Aptos" w:hAnsi="Aptos" w:cs="Arial"/>
          <w:sz w:val="16"/>
          <w:szCs w:val="16"/>
        </w:rPr>
        <w:t>ClinVar</w:t>
      </w:r>
      <w:proofErr w:type="spellEnd"/>
      <w:r w:rsidRPr="001F4749">
        <w:rPr>
          <w:rFonts w:ascii="Aptos" w:hAnsi="Aptos" w:cs="Arial"/>
          <w:sz w:val="16"/>
          <w:szCs w:val="16"/>
        </w:rPr>
        <w:t xml:space="preserve"> (ncbi.nlm.nih.gov/</w:t>
      </w:r>
      <w:proofErr w:type="spellStart"/>
      <w:r w:rsidRPr="001F4749">
        <w:rPr>
          <w:rFonts w:ascii="Aptos" w:hAnsi="Aptos" w:cs="Arial"/>
          <w:sz w:val="16"/>
          <w:szCs w:val="16"/>
        </w:rPr>
        <w:t>clinvar</w:t>
      </w:r>
      <w:proofErr w:type="spellEnd"/>
      <w:r w:rsidRPr="001F4749">
        <w:rPr>
          <w:rFonts w:ascii="Aptos" w:hAnsi="Aptos" w:cs="Arial"/>
          <w:sz w:val="16"/>
          <w:szCs w:val="16"/>
        </w:rPr>
        <w:t xml:space="preserve">) and the IARC TP53 Database (p53.iarc.fr). </w:t>
      </w:r>
      <w:r w:rsidRPr="001F4749">
        <w:rPr>
          <w:rFonts w:ascii="Aptos" w:hAnsi="Aptos" w:cs="Arial"/>
          <w:b/>
          <w:sz w:val="16"/>
          <w:szCs w:val="16"/>
        </w:rPr>
        <w:t xml:space="preserve">Somatic variant analysis – </w:t>
      </w:r>
      <w:r w:rsidRPr="001F4749">
        <w:rPr>
          <w:rFonts w:ascii="Aptos" w:hAnsi="Aptos" w:cs="Arial"/>
          <w:sz w:val="16"/>
          <w:szCs w:val="16"/>
        </w:rPr>
        <w:t>V</w:t>
      </w:r>
      <w:r w:rsidRPr="001F4749">
        <w:rPr>
          <w:rFonts w:ascii="Aptos" w:hAnsi="Aptos" w:cs="Arial"/>
          <w:sz w:val="16"/>
          <w:szCs w:val="18"/>
        </w:rPr>
        <w:t xml:space="preserve">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t>
      </w:r>
      <w:r w:rsidR="0066633D" w:rsidRPr="0066633D">
        <w:rPr>
          <w:rFonts w:ascii="Aptos" w:hAnsi="Aptos" w:cs="Arial"/>
          <w:sz w:val="16"/>
          <w:szCs w:val="18"/>
        </w:rPr>
        <w:t>The ACKR1 c.-67T&gt;C variant is only reported when observed in the homozygous state. Other variants in ACKR1 are not reported.</w:t>
      </w:r>
      <w:r w:rsidR="0066633D">
        <w:rPr>
          <w:rFonts w:ascii="Aptos" w:hAnsi="Aptos" w:cs="Arial"/>
          <w:sz w:val="16"/>
          <w:szCs w:val="18"/>
        </w:rPr>
        <w:t xml:space="preserve"> </w:t>
      </w:r>
      <w:r w:rsidRPr="001F4749">
        <w:rPr>
          <w:rFonts w:ascii="Aptos" w:hAnsi="Aptos" w:cs="Arial"/>
          <w:sz w:val="16"/>
          <w:szCs w:val="18"/>
        </w:rPr>
        <w:t>When performed, FLT3-ITDs are tested for by fragment length analysis using capillary electrophoresis. The FLT3 allelic ratio is calculated by peak height ITD/peak height WT.</w:t>
      </w:r>
      <w:r w:rsidRPr="001F4749">
        <w:rPr>
          <w:rFonts w:ascii="Aptos" w:hAnsi="Aptos"/>
        </w:rPr>
        <w:t xml:space="preserve"> </w:t>
      </w:r>
      <w:r w:rsidRPr="001F4749">
        <w:rPr>
          <w:rFonts w:ascii="Aptos" w:hAnsi="Aptos" w:cs="Arial"/>
          <w:sz w:val="16"/>
          <w:szCs w:val="18"/>
        </w:rPr>
        <w:t xml:space="preserve">The detection limit for FLT3-ITDs is approximately 1%. </w:t>
      </w:r>
      <w:r w:rsidRPr="001F4749">
        <w:rPr>
          <w:rFonts w:ascii="Aptos" w:hAnsi="Aptos" w:cs="Arial"/>
          <w:b/>
          <w:sz w:val="16"/>
          <w:szCs w:val="18"/>
        </w:rPr>
        <w:t xml:space="preserve">Somatic variant categorisation (modified from AMP/ASCO/CAP guidelines [Li et al. 2017, PMID: 27993330]) – </w:t>
      </w:r>
      <w:r w:rsidRPr="001F4749">
        <w:rPr>
          <w:rFonts w:ascii="Aptos" w:hAnsi="Aptos" w:cs="Arial"/>
          <w:sz w:val="16"/>
          <w:szCs w:val="18"/>
        </w:rPr>
        <w:t xml:space="preserve">Variants are curated and categorised according to the clinical context of the patient and categorised as </w:t>
      </w:r>
      <w:r w:rsidRPr="001F4749">
        <w:rPr>
          <w:rFonts w:ascii="Aptos" w:hAnsi="Aptos" w:cs="Arial"/>
          <w:b/>
          <w:sz w:val="16"/>
          <w:szCs w:val="18"/>
        </w:rPr>
        <w:t>DIAGNOSTIC</w:t>
      </w:r>
      <w:r w:rsidRPr="001F4749">
        <w:rPr>
          <w:rFonts w:ascii="Aptos" w:hAnsi="Aptos" w:cs="Arial"/>
          <w:sz w:val="16"/>
          <w:szCs w:val="18"/>
        </w:rPr>
        <w:t xml:space="preserve"> (the variant either defines a diagnostic category or is sufficiently specific for the clinical context to contribute to diagnostic </w:t>
      </w:r>
      <w:proofErr w:type="spellStart"/>
      <w:r w:rsidRPr="001F4749">
        <w:rPr>
          <w:rFonts w:ascii="Aptos" w:hAnsi="Aptos" w:cs="Arial"/>
          <w:sz w:val="16"/>
          <w:szCs w:val="18"/>
        </w:rPr>
        <w:t>subcategorisation</w:t>
      </w:r>
      <w:proofErr w:type="spellEnd"/>
      <w:r w:rsidRPr="001F4749">
        <w:rPr>
          <w:rFonts w:ascii="Aptos" w:hAnsi="Aptos" w:cs="Arial"/>
          <w:sz w:val="16"/>
          <w:szCs w:val="18"/>
        </w:rPr>
        <w:t xml:space="preserve">), </w:t>
      </w:r>
      <w:r w:rsidRPr="001F4749">
        <w:rPr>
          <w:rFonts w:ascii="Aptos" w:hAnsi="Aptos" w:cs="Arial"/>
          <w:b/>
          <w:sz w:val="16"/>
          <w:szCs w:val="18"/>
        </w:rPr>
        <w:t>PROGNOSTIC</w:t>
      </w:r>
      <w:r w:rsidRPr="001F4749">
        <w:rPr>
          <w:rFonts w:ascii="Aptos" w:hAnsi="Aptos" w:cs="Arial"/>
          <w:sz w:val="16"/>
          <w:szCs w:val="18"/>
        </w:rPr>
        <w:t xml:space="preserve"> (the variant has been associated in large trials/series with inferior or superior outcomes in either the context of a specific therapy or independent of therapy. Note this does not </w:t>
      </w:r>
      <w:proofErr w:type="gramStart"/>
      <w:r w:rsidRPr="001F4749">
        <w:rPr>
          <w:rFonts w:ascii="Aptos" w:hAnsi="Aptos" w:cs="Arial"/>
          <w:sz w:val="16"/>
          <w:szCs w:val="18"/>
        </w:rPr>
        <w:t>take into account</w:t>
      </w:r>
      <w:proofErr w:type="gramEnd"/>
      <w:r w:rsidRPr="001F4749">
        <w:rPr>
          <w:rFonts w:ascii="Aptos" w:hAnsi="Aptos" w:cs="Arial"/>
          <w:sz w:val="16"/>
          <w:szCs w:val="18"/>
        </w:rPr>
        <w:t xml:space="preserve"> interaction between prognostic variants present in the individual patient. Relevant pairwise interactions are presented in the clinical summary), </w:t>
      </w:r>
      <w:r w:rsidRPr="001F4749">
        <w:rPr>
          <w:rFonts w:ascii="Aptos" w:hAnsi="Aptos" w:cs="Arial"/>
          <w:b/>
          <w:sz w:val="16"/>
          <w:szCs w:val="18"/>
        </w:rPr>
        <w:t>DRUG TARGET</w:t>
      </w:r>
      <w:r w:rsidRPr="001F4749">
        <w:rPr>
          <w:rFonts w:ascii="Aptos" w:hAnsi="Aptos" w:cs="Arial"/>
          <w:sz w:val="16"/>
          <w:szCs w:val="18"/>
        </w:rPr>
        <w:t xml:space="preserve"> (the variant or variant class is specifically targeted by a therapeutic agent, this category only includes therapeutic agents that are clinically advanced and generally available through either reimbursement or clinical trials [i.e. not early stage investigational agents]), </w:t>
      </w:r>
      <w:r w:rsidRPr="001F4749">
        <w:rPr>
          <w:rFonts w:ascii="Aptos" w:hAnsi="Aptos" w:cs="Arial"/>
          <w:b/>
          <w:sz w:val="16"/>
          <w:szCs w:val="18"/>
        </w:rPr>
        <w:t>DRUG RESISTANCE</w:t>
      </w:r>
      <w:r w:rsidRPr="001F4749">
        <w:rPr>
          <w:rFonts w:ascii="Aptos" w:hAnsi="Aptos" w:cs="Arial"/>
          <w:sz w:val="16"/>
          <w:szCs w:val="18"/>
        </w:rPr>
        <w:t xml:space="preserve"> (the variant is specifically associated with resistance to a targeted agent [i.e. does not include non-specific resistance to non-targeted therapies]), </w:t>
      </w:r>
      <w:r w:rsidRPr="001F4749">
        <w:rPr>
          <w:rFonts w:ascii="Aptos" w:hAnsi="Aptos" w:cs="Arial"/>
          <w:b/>
          <w:sz w:val="16"/>
          <w:szCs w:val="18"/>
        </w:rPr>
        <w:t>MRD MARKER</w:t>
      </w:r>
      <w:r w:rsidRPr="001F4749">
        <w:rPr>
          <w:rFonts w:ascii="Aptos" w:hAnsi="Aptos" w:cs="Arial"/>
          <w:sz w:val="16"/>
          <w:szCs w:val="18"/>
        </w:rPr>
        <w:t xml:space="preserve"> (the variant is an established biomarker for which assessment at MRD sensitivity after therapy is accepted practice). If the variant is not categorised into any of the above categories it is assigned </w:t>
      </w:r>
      <w:r w:rsidRPr="001F4749">
        <w:rPr>
          <w:rFonts w:ascii="Aptos" w:hAnsi="Aptos" w:cs="Arial"/>
          <w:b/>
          <w:sz w:val="16"/>
          <w:szCs w:val="18"/>
        </w:rPr>
        <w:t>CLONAL MARKER</w:t>
      </w:r>
      <w:r w:rsidRPr="001F4749">
        <w:rPr>
          <w:rFonts w:ascii="Aptos" w:hAnsi="Aptos" w:cs="Arial"/>
          <w:sz w:val="16"/>
          <w:szCs w:val="18"/>
        </w:rPr>
        <w:t xml:space="preserve"> indicating its utility in defining the presence of a clonal haematopoietic process in the specimen. These categorisations are general in nature and may not be applicable to the specific clinicopathological context of the patient. </w:t>
      </w:r>
      <w:r w:rsidRPr="001F4749">
        <w:rPr>
          <w:rFonts w:ascii="Aptos" w:hAnsi="Aptos" w:cs="Arial"/>
          <w:b/>
          <w:sz w:val="16"/>
          <w:szCs w:val="16"/>
        </w:rPr>
        <w:t>Germline variant analysis</w:t>
      </w:r>
      <w:r w:rsidRPr="001F4749">
        <w:rPr>
          <w:rFonts w:ascii="Aptos" w:hAnsi="Aptos" w:cs="Arial"/>
          <w:sz w:val="16"/>
          <w:szCs w:val="16"/>
        </w:rPr>
        <w:t xml:space="preserve"> – All rare germline variants are classified according to ACMG guidelines for the interpretation of sequence variants (Richards et al. 2015, PMID: 25741868)</w:t>
      </w:r>
      <w:r w:rsidRPr="001F4749">
        <w:rPr>
          <w:rFonts w:ascii="Aptos" w:eastAsia="Times New Roman" w:hAnsi="Aptos" w:cs="Arial"/>
          <w:sz w:val="16"/>
          <w:szCs w:val="16"/>
        </w:rPr>
        <w:t xml:space="preserve">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lastRenderedPageBreak/>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The detection limit of this assay for specimens sequenced to the target read depth of 500x is a variant allele frequency (VAF) of approximately 2% with the exception of JAK2 c.1849G&gt;</w:t>
      </w:r>
      <w:proofErr w:type="spellStart"/>
      <w:proofErr w:type="gramStart"/>
      <w:r w:rsidRPr="001F4749">
        <w:rPr>
          <w:rFonts w:ascii="Aptos" w:hAnsi="Aptos" w:cs="Arial"/>
          <w:sz w:val="16"/>
          <w:szCs w:val="16"/>
        </w:rPr>
        <w:t>T;p</w:t>
      </w:r>
      <w:proofErr w:type="spellEnd"/>
      <w:r w:rsidRPr="001F4749">
        <w:rPr>
          <w:rFonts w:ascii="Aptos" w:hAnsi="Aptos" w:cs="Arial"/>
          <w:sz w:val="16"/>
          <w:szCs w:val="16"/>
        </w:rPr>
        <w:t>.</w:t>
      </w:r>
      <w:proofErr w:type="gramEnd"/>
      <w:r w:rsidRPr="001F4749">
        <w:rPr>
          <w:rFonts w:ascii="Aptos" w:hAnsi="Aptos" w:cs="Arial"/>
          <w:sz w:val="16"/>
          <w:szCs w:val="16"/>
        </w:rPr>
        <w:t xml:space="preserve">(Val617Phe)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proofErr w:type="spellStart"/>
      <w:r w:rsidRPr="00F80DD0">
        <w:rPr>
          <w:rFonts w:ascii="Aptos" w:hAnsi="Aptos" w:cs="Arial"/>
          <w:b/>
          <w:bCs/>
          <w:sz w:val="16"/>
          <w:szCs w:val="16"/>
        </w:rPr>
        <w:t>LIMITATIONS_cfDNA_IN</w:t>
      </w:r>
      <w:proofErr w:type="spellEnd"/>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3"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23E9961F"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4A3A41">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4A3A41">
        <w:rPr>
          <w:rFonts w:ascii="Aptos" w:hAnsi="Aptos" w:cs="Arial"/>
          <w:b/>
          <w:bCs/>
          <w:iCs/>
          <w:sz w:val="18"/>
          <w:szCs w:val="18"/>
        </w:rPr>
        <w:t>AUTHORISED_BY_IN</w:t>
      </w:r>
    </w:p>
    <w:bookmarkEnd w:id="3"/>
    <w:p w14:paraId="40171A6A" w14:textId="156FDEB6"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343BB9">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4ED10F" w14:textId="77777777" w:rsidR="002031E5" w:rsidRDefault="002031E5">
      <w:r>
        <w:separator/>
      </w:r>
    </w:p>
  </w:endnote>
  <w:endnote w:type="continuationSeparator" w:id="0">
    <w:p w14:paraId="6DD5EBF7" w14:textId="77777777" w:rsidR="002031E5" w:rsidRDefault="002031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F62BD" w:rsidRPr="003F62BD" w14:paraId="568829BA" w14:textId="77777777" w:rsidTr="003F62BD">
      <w:tc>
        <w:tcPr>
          <w:tcW w:w="4395" w:type="dxa"/>
          <w:tcMar>
            <w:left w:w="0" w:type="dxa"/>
            <w:right w:w="0" w:type="dxa"/>
          </w:tcMar>
        </w:tcPr>
        <w:p w14:paraId="7776B891" w14:textId="77777777" w:rsidR="003F62BD" w:rsidRPr="003F62BD" w:rsidRDefault="003F62BD" w:rsidP="006612A2">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09385FE" w14:textId="15D0856F" w:rsidR="003F62BD" w:rsidRPr="003F62BD" w:rsidRDefault="003F62BD" w:rsidP="003F62BD">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0963D" w14:textId="77777777" w:rsidR="00321B09" w:rsidRDefault="00321B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21072" w:rsidRPr="003F62BD" w14:paraId="4F712944" w14:textId="77777777" w:rsidTr="00121072">
      <w:tc>
        <w:tcPr>
          <w:tcW w:w="4395" w:type="dxa"/>
          <w:tcMar>
            <w:left w:w="0" w:type="dxa"/>
            <w:right w:w="0" w:type="dxa"/>
          </w:tcMar>
        </w:tcPr>
        <w:p w14:paraId="1A4AF5E8" w14:textId="329E943B" w:rsidR="00121072" w:rsidRPr="003F62BD" w:rsidRDefault="00121072" w:rsidP="00121072">
          <w:pPr>
            <w:rPr>
              <w:rFonts w:ascii="Aptos" w:hAnsi="Aptos" w:cs="Arial"/>
              <w:iCs/>
              <w:noProof/>
              <w:sz w:val="18"/>
              <w:szCs w:val="18"/>
            </w:rPr>
          </w:pPr>
        </w:p>
      </w:tc>
      <w:tc>
        <w:tcPr>
          <w:tcW w:w="5793" w:type="dxa"/>
          <w:tcMar>
            <w:left w:w="0" w:type="dxa"/>
            <w:right w:w="0" w:type="dxa"/>
          </w:tcMar>
        </w:tcPr>
        <w:p w14:paraId="48C883B2" w14:textId="77777777" w:rsidR="00121072" w:rsidRPr="003F62BD" w:rsidRDefault="00121072" w:rsidP="00121072">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D59A5" w14:textId="77777777" w:rsidR="002031E5" w:rsidRDefault="002031E5">
      <w:r>
        <w:separator/>
      </w:r>
    </w:p>
  </w:footnote>
  <w:footnote w:type="continuationSeparator" w:id="0">
    <w:p w14:paraId="70ED0C1E" w14:textId="77777777" w:rsidR="002031E5" w:rsidRDefault="002031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F50C9" w14:textId="77777777" w:rsidR="00321B09" w:rsidRDefault="00321B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784500846"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9329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EA849" w14:textId="77777777" w:rsidR="00321B09" w:rsidRDefault="00321B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19893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64ED7"/>
    <w:rsid w:val="000807A9"/>
    <w:rsid w:val="00081585"/>
    <w:rsid w:val="00087817"/>
    <w:rsid w:val="000A0278"/>
    <w:rsid w:val="000A6E51"/>
    <w:rsid w:val="000C036E"/>
    <w:rsid w:val="000D6AF1"/>
    <w:rsid w:val="000E3700"/>
    <w:rsid w:val="000F0738"/>
    <w:rsid w:val="000F214E"/>
    <w:rsid w:val="000F6D06"/>
    <w:rsid w:val="001012B0"/>
    <w:rsid w:val="00115A94"/>
    <w:rsid w:val="0011629C"/>
    <w:rsid w:val="00121072"/>
    <w:rsid w:val="001325CD"/>
    <w:rsid w:val="00143096"/>
    <w:rsid w:val="00152C99"/>
    <w:rsid w:val="00157363"/>
    <w:rsid w:val="00165591"/>
    <w:rsid w:val="00170FED"/>
    <w:rsid w:val="001834E9"/>
    <w:rsid w:val="00197460"/>
    <w:rsid w:val="001A21A8"/>
    <w:rsid w:val="001A5E5A"/>
    <w:rsid w:val="001C768D"/>
    <w:rsid w:val="001D63ED"/>
    <w:rsid w:val="001F4749"/>
    <w:rsid w:val="002031E5"/>
    <w:rsid w:val="0020459B"/>
    <w:rsid w:val="00205CBC"/>
    <w:rsid w:val="002149AA"/>
    <w:rsid w:val="00216D49"/>
    <w:rsid w:val="002248AB"/>
    <w:rsid w:val="00227192"/>
    <w:rsid w:val="00227481"/>
    <w:rsid w:val="00242DAB"/>
    <w:rsid w:val="00264ECF"/>
    <w:rsid w:val="002830C8"/>
    <w:rsid w:val="00296406"/>
    <w:rsid w:val="002B2B52"/>
    <w:rsid w:val="002B640B"/>
    <w:rsid w:val="003043E6"/>
    <w:rsid w:val="00321B09"/>
    <w:rsid w:val="003327C0"/>
    <w:rsid w:val="00335B7A"/>
    <w:rsid w:val="00343BB9"/>
    <w:rsid w:val="00352E68"/>
    <w:rsid w:val="00377733"/>
    <w:rsid w:val="00387C6E"/>
    <w:rsid w:val="0039207C"/>
    <w:rsid w:val="00394064"/>
    <w:rsid w:val="003B7164"/>
    <w:rsid w:val="003D40E7"/>
    <w:rsid w:val="003E200E"/>
    <w:rsid w:val="003F60A5"/>
    <w:rsid w:val="003F62BD"/>
    <w:rsid w:val="00405ECC"/>
    <w:rsid w:val="00407163"/>
    <w:rsid w:val="00435543"/>
    <w:rsid w:val="00471043"/>
    <w:rsid w:val="0049030C"/>
    <w:rsid w:val="00497236"/>
    <w:rsid w:val="00497804"/>
    <w:rsid w:val="00497B15"/>
    <w:rsid w:val="004A3A41"/>
    <w:rsid w:val="004B0295"/>
    <w:rsid w:val="004B26A8"/>
    <w:rsid w:val="004B65A3"/>
    <w:rsid w:val="004D04F0"/>
    <w:rsid w:val="004E4BB4"/>
    <w:rsid w:val="00506D14"/>
    <w:rsid w:val="00510C35"/>
    <w:rsid w:val="00513922"/>
    <w:rsid w:val="005410BD"/>
    <w:rsid w:val="005733E9"/>
    <w:rsid w:val="00575D84"/>
    <w:rsid w:val="00582813"/>
    <w:rsid w:val="005A7F31"/>
    <w:rsid w:val="005B09F7"/>
    <w:rsid w:val="005E1494"/>
    <w:rsid w:val="005E5A73"/>
    <w:rsid w:val="005F1A04"/>
    <w:rsid w:val="005F2C91"/>
    <w:rsid w:val="00603214"/>
    <w:rsid w:val="00637852"/>
    <w:rsid w:val="00642205"/>
    <w:rsid w:val="006644AB"/>
    <w:rsid w:val="0066633D"/>
    <w:rsid w:val="0067420E"/>
    <w:rsid w:val="00675ABB"/>
    <w:rsid w:val="00690729"/>
    <w:rsid w:val="0069740A"/>
    <w:rsid w:val="006B4471"/>
    <w:rsid w:val="006C1222"/>
    <w:rsid w:val="006C33E6"/>
    <w:rsid w:val="006C4129"/>
    <w:rsid w:val="006C694E"/>
    <w:rsid w:val="006C6D52"/>
    <w:rsid w:val="006D4293"/>
    <w:rsid w:val="006D6231"/>
    <w:rsid w:val="006E794B"/>
    <w:rsid w:val="007159F8"/>
    <w:rsid w:val="00731B64"/>
    <w:rsid w:val="00737518"/>
    <w:rsid w:val="0074680D"/>
    <w:rsid w:val="00757065"/>
    <w:rsid w:val="0077435F"/>
    <w:rsid w:val="00785E23"/>
    <w:rsid w:val="0079048E"/>
    <w:rsid w:val="0079718F"/>
    <w:rsid w:val="007C6F35"/>
    <w:rsid w:val="007D7FAA"/>
    <w:rsid w:val="0081104B"/>
    <w:rsid w:val="008212F6"/>
    <w:rsid w:val="008242F9"/>
    <w:rsid w:val="008370AD"/>
    <w:rsid w:val="00851385"/>
    <w:rsid w:val="00856522"/>
    <w:rsid w:val="008604D5"/>
    <w:rsid w:val="008611E0"/>
    <w:rsid w:val="00870D95"/>
    <w:rsid w:val="008762E7"/>
    <w:rsid w:val="008841A3"/>
    <w:rsid w:val="0089154B"/>
    <w:rsid w:val="00891C8B"/>
    <w:rsid w:val="0089330F"/>
    <w:rsid w:val="0089518F"/>
    <w:rsid w:val="008C5F87"/>
    <w:rsid w:val="008D7FBF"/>
    <w:rsid w:val="008E58F2"/>
    <w:rsid w:val="008E6660"/>
    <w:rsid w:val="008F1928"/>
    <w:rsid w:val="008F19EA"/>
    <w:rsid w:val="008F7869"/>
    <w:rsid w:val="00907B1D"/>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50542"/>
    <w:rsid w:val="00A527E0"/>
    <w:rsid w:val="00A654BF"/>
    <w:rsid w:val="00A8121A"/>
    <w:rsid w:val="00A93BC6"/>
    <w:rsid w:val="00A94FE1"/>
    <w:rsid w:val="00AA4C96"/>
    <w:rsid w:val="00AB40D4"/>
    <w:rsid w:val="00AE12ED"/>
    <w:rsid w:val="00AF2BB6"/>
    <w:rsid w:val="00B065EE"/>
    <w:rsid w:val="00B06F9D"/>
    <w:rsid w:val="00B112AD"/>
    <w:rsid w:val="00B2523A"/>
    <w:rsid w:val="00B33BB4"/>
    <w:rsid w:val="00B341A4"/>
    <w:rsid w:val="00B45BC9"/>
    <w:rsid w:val="00B552E8"/>
    <w:rsid w:val="00B71233"/>
    <w:rsid w:val="00B741E8"/>
    <w:rsid w:val="00B8290E"/>
    <w:rsid w:val="00B83EC3"/>
    <w:rsid w:val="00B965B9"/>
    <w:rsid w:val="00BA352E"/>
    <w:rsid w:val="00BA3804"/>
    <w:rsid w:val="00BB1BE5"/>
    <w:rsid w:val="00BB322C"/>
    <w:rsid w:val="00BB3F5F"/>
    <w:rsid w:val="00BC79B1"/>
    <w:rsid w:val="00BF46CE"/>
    <w:rsid w:val="00BF5E14"/>
    <w:rsid w:val="00C05506"/>
    <w:rsid w:val="00C06C88"/>
    <w:rsid w:val="00C165D5"/>
    <w:rsid w:val="00C22A5B"/>
    <w:rsid w:val="00C23F68"/>
    <w:rsid w:val="00C42016"/>
    <w:rsid w:val="00C55126"/>
    <w:rsid w:val="00C62AF4"/>
    <w:rsid w:val="00C63537"/>
    <w:rsid w:val="00C70CFF"/>
    <w:rsid w:val="00C902A6"/>
    <w:rsid w:val="00CA2724"/>
    <w:rsid w:val="00CA7682"/>
    <w:rsid w:val="00CC6E69"/>
    <w:rsid w:val="00CE138E"/>
    <w:rsid w:val="00CE143F"/>
    <w:rsid w:val="00D01643"/>
    <w:rsid w:val="00D20ADC"/>
    <w:rsid w:val="00D471AE"/>
    <w:rsid w:val="00D65352"/>
    <w:rsid w:val="00D913D9"/>
    <w:rsid w:val="00DA029E"/>
    <w:rsid w:val="00DA2D0C"/>
    <w:rsid w:val="00DA3E70"/>
    <w:rsid w:val="00DA4777"/>
    <w:rsid w:val="00DC1025"/>
    <w:rsid w:val="00DC4506"/>
    <w:rsid w:val="00DD260A"/>
    <w:rsid w:val="00DD4F53"/>
    <w:rsid w:val="00DF2FF6"/>
    <w:rsid w:val="00DF6F02"/>
    <w:rsid w:val="00E1180E"/>
    <w:rsid w:val="00E15334"/>
    <w:rsid w:val="00E35663"/>
    <w:rsid w:val="00E43258"/>
    <w:rsid w:val="00E6377E"/>
    <w:rsid w:val="00E854C6"/>
    <w:rsid w:val="00EB1BCA"/>
    <w:rsid w:val="00EB4075"/>
    <w:rsid w:val="00EB5C81"/>
    <w:rsid w:val="00EC09AB"/>
    <w:rsid w:val="00EE54D1"/>
    <w:rsid w:val="00EF1B31"/>
    <w:rsid w:val="00F00FC5"/>
    <w:rsid w:val="00F054DD"/>
    <w:rsid w:val="00F468B4"/>
    <w:rsid w:val="00F569E6"/>
    <w:rsid w:val="00F66423"/>
    <w:rsid w:val="00F80DD0"/>
    <w:rsid w:val="00F86125"/>
    <w:rsid w:val="00F96ABA"/>
    <w:rsid w:val="00FA761A"/>
    <w:rsid w:val="00FB1DED"/>
    <w:rsid w:val="00FE1C7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B83EC3"/>
    <w:rPr>
      <w:rFonts w:ascii="Aptos" w:hAnsi="Aptos"/>
      <w:sz w:val="30"/>
      <w:szCs w:val="32"/>
    </w:rPr>
  </w:style>
  <w:style w:type="character" w:customStyle="1" w:styleId="CLIN1HEADINGChar">
    <w:name w:val="CLIN1(HEADING) Char"/>
    <w:basedOn w:val="Heading1Char"/>
    <w:link w:val="CLIN1HEADING"/>
    <w:rsid w:val="00B83EC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B83EC3"/>
    <w:rPr>
      <w:rFonts w:ascii="Aptos" w:hAnsi="Aptos"/>
      <w:sz w:val="20"/>
    </w:rPr>
  </w:style>
  <w:style w:type="character" w:customStyle="1" w:styleId="CLIN2SUBHEADINGSChar">
    <w:name w:val="CLIN2(SUBHEADINGS) Char"/>
    <w:basedOn w:val="Heading2Char"/>
    <w:link w:val="CLIN2SUBHEADINGS"/>
    <w:rsid w:val="00B83EC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B83EC3"/>
    <w:pPr>
      <w:ind w:left="428" w:hanging="425"/>
    </w:pPr>
    <w:rPr>
      <w:rFonts w:ascii="Aptos" w:hAnsi="Aptos"/>
      <w:sz w:val="16"/>
    </w:rPr>
  </w:style>
  <w:style w:type="character" w:customStyle="1" w:styleId="CLIN3BULLETPOINTSChar">
    <w:name w:val="CLIN3(BULLET POINTS) Char"/>
    <w:basedOn w:val="DefaultParagraphFont"/>
    <w:link w:val="CLIN3BULLETPOINTS"/>
    <w:rsid w:val="00B83EC3"/>
    <w:rPr>
      <w:rFonts w:ascii="Aptos" w:eastAsia="MS Mincho" w:hAnsi="Aptos" w:cstheme="majorHAnsi"/>
      <w:noProof/>
      <w:sz w:val="16"/>
      <w:szCs w:val="18"/>
      <w:lang w:eastAsia="en-AU"/>
    </w:rPr>
  </w:style>
  <w:style w:type="paragraph" w:customStyle="1" w:styleId="CLIN4">
    <w:name w:val="CLIN4"/>
    <w:basedOn w:val="Normal"/>
    <w:link w:val="CLIN4Char"/>
    <w:qFormat/>
    <w:rsid w:val="00B83EC3"/>
    <w:pPr>
      <w:jc w:val="both"/>
    </w:pPr>
    <w:rPr>
      <w:rFonts w:ascii="Aptos" w:hAnsi="Aptos"/>
      <w:noProof/>
      <w:sz w:val="11"/>
    </w:rPr>
  </w:style>
  <w:style w:type="character" w:customStyle="1" w:styleId="CLIN4Char">
    <w:name w:val="CLIN4 Char"/>
    <w:basedOn w:val="DefaultParagraphFont"/>
    <w:link w:val="CLIN4"/>
    <w:rsid w:val="00B83EC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3</Pages>
  <Words>1216</Words>
  <Characters>6932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63</cp:revision>
  <dcterms:created xsi:type="dcterms:W3CDTF">2025-09-22T22:44:00Z</dcterms:created>
  <dcterms:modified xsi:type="dcterms:W3CDTF">2025-11-10T09:47:00Z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