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CB9A" w14:textId="77777777" w:rsidR="00CF2241" w:rsidRPr="00AA1BDA" w:rsidRDefault="00CF2241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88"/>
      </w:tblGrid>
      <w:tr w:rsidR="00F166A0" w:rsidRPr="00AA1BDA" w14:paraId="2C5CCBAE" w14:textId="77777777" w:rsidTr="004377B2">
        <w:trPr>
          <w:trHeight w:val="12081"/>
          <w:jc w:val="center"/>
        </w:trPr>
        <w:tc>
          <w:tcPr>
            <w:tcW w:w="10188" w:type="dxa"/>
            <w:shd w:val="clear" w:color="auto" w:fill="E8E7EC"/>
          </w:tcPr>
          <w:p w14:paraId="2C5CCB9B" w14:textId="77777777" w:rsidR="00CF2241" w:rsidRPr="00873258" w:rsidRDefault="00CF2241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</w:r>
            <w:r w:rsidRPr="00AA1BDA">
              <w:rPr>
                <w:rFonts w:cs="Calibri"/>
                <w:lang w:eastAsia="en-AU"/>
              </w:rPr>
              <w:t xml:space="preserve">aml WITH </w:t>
            </w:r>
            <w:r>
              <w:rPr>
                <w:rFonts w:cs="Calibri"/>
                <w:i/>
                <w:lang w:eastAsia="en-AU"/>
              </w:rPr>
              <w:t xml:space="preserve">KMT2A </w:t>
            </w:r>
            <w:r>
              <w:rPr>
                <w:rFonts w:cs="Calibri"/>
                <w:iCs/>
                <w:lang w:eastAsia="en-AU"/>
              </w:rPr>
              <w:t>REARRANGEMENT</w:t>
            </w:r>
          </w:p>
          <w:p w14:paraId="2C5CCB9C" w14:textId="77777777" w:rsidR="00CF2241" w:rsidRPr="00AA1BDA" w:rsidRDefault="00CF2241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2C5CCB9D" w14:textId="77777777" w:rsidR="00CF2241" w:rsidRDefault="00CF2241" w:rsidP="000F5BC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AML with </w:t>
            </w:r>
            <w:r>
              <w:rPr>
                <w:rFonts w:cs="Calibri"/>
              </w:rPr>
              <w:t xml:space="preserve">balanced </w:t>
            </w:r>
            <w:r>
              <w:rPr>
                <w:rFonts w:cs="Calibri"/>
              </w:rPr>
              <w:t xml:space="preserve">rearrangements involving the </w:t>
            </w:r>
            <w:r w:rsidRPr="7045B249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 gene </w:t>
            </w:r>
            <w:r>
              <w:rPr>
                <w:rFonts w:cs="Calibri"/>
              </w:rPr>
              <w:t xml:space="preserve">at chromosome 11q23 </w:t>
            </w:r>
            <w:r>
              <w:rPr>
                <w:rFonts w:cs="Calibri"/>
              </w:rPr>
              <w:t xml:space="preserve">account for </w:t>
            </w:r>
            <w:r>
              <w:rPr>
                <w:rFonts w:cs="Calibri"/>
              </w:rPr>
              <w:t xml:space="preserve">approximately </w:t>
            </w:r>
            <w:r>
              <w:rPr>
                <w:rFonts w:cs="Calibri"/>
              </w:rPr>
              <w:t>3</w:t>
            </w:r>
            <w:r>
              <w:rPr>
                <w:rFonts w:cs="Calibri"/>
              </w:rPr>
              <w:t xml:space="preserve">% of </w:t>
            </w:r>
            <w:r>
              <w:rPr>
                <w:rFonts w:cs="Calibri"/>
              </w:rPr>
              <w:t>adult cases</w:t>
            </w:r>
            <w:r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1,2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 and </w:t>
            </w:r>
            <w:r>
              <w:rPr>
                <w:rFonts w:cs="Calibri"/>
              </w:rPr>
              <w:t>16</w:t>
            </w:r>
            <w:r>
              <w:rPr>
                <w:rFonts w:cs="Calibri"/>
              </w:rPr>
              <w:t>%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t>18</w:t>
            </w:r>
            <w:r>
              <w:rPr>
                <w:rFonts w:cs="Calibri"/>
              </w:rPr>
              <w:t>% of paediatric cases</w:t>
            </w:r>
            <w:r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3,4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  <w:r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 xml:space="preserve">This </w:t>
            </w:r>
            <w:r>
              <w:rPr>
                <w:rFonts w:cs="Calibri"/>
              </w:rPr>
              <w:t>is a recurrent genetic abnormality that defines AML irrespective of blast count (WHO 5</w:t>
            </w:r>
            <w:r w:rsidRPr="000E0BC9"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edition)</w:t>
            </w: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</w:instrText>
            </w:r>
            <w:r>
              <w:rPr>
                <w:rFonts w:cs="Calibri"/>
              </w:rPr>
              <w:instrText>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5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2C5CCB9E" w14:textId="77777777" w:rsidR="00CF2241" w:rsidRDefault="00CF2241" w:rsidP="000F5BCF">
            <w:pPr>
              <w:pStyle w:val="CLIN3BULLETPOINTS"/>
              <w:rPr>
                <w:rFonts w:cs="Calibri"/>
              </w:rPr>
            </w:pPr>
            <w:r w:rsidRPr="4C4B5386">
              <w:rPr>
                <w:rFonts w:cs="Calibri"/>
                <w:i/>
                <w:iCs/>
              </w:rPr>
              <w:t>KMT2A</w:t>
            </w:r>
            <w:r w:rsidRPr="4C4B5386">
              <w:rPr>
                <w:rFonts w:cs="Calibri"/>
              </w:rPr>
              <w:t xml:space="preserve"> rearrangements </w:t>
            </w:r>
            <w:r w:rsidRPr="4C4B5386">
              <w:rPr>
                <w:rFonts w:cs="Calibri"/>
              </w:rPr>
              <w:t xml:space="preserve">are also </w:t>
            </w:r>
            <w:r w:rsidRPr="4C4B5386">
              <w:rPr>
                <w:rFonts w:cs="Calibri"/>
              </w:rPr>
              <w:t xml:space="preserve">recurrently observed </w:t>
            </w:r>
            <w:r w:rsidRPr="4C4B5386">
              <w:rPr>
                <w:rFonts w:cs="Calibri"/>
              </w:rPr>
              <w:t xml:space="preserve">in </w:t>
            </w:r>
            <w:r w:rsidRPr="4C4B5386">
              <w:rPr>
                <w:rFonts w:cs="Calibri"/>
              </w:rPr>
              <w:t xml:space="preserve">myeloid neoplasm post cytotoxic therapy </w:t>
            </w:r>
            <w:r w:rsidRPr="4C4B5386">
              <w:rPr>
                <w:rFonts w:cs="Calibri"/>
              </w:rPr>
              <w:t>(</w:t>
            </w:r>
            <w:r w:rsidRPr="4C4B5386">
              <w:rPr>
                <w:rFonts w:cs="Calibri"/>
              </w:rPr>
              <w:t>MN-pCT</w:t>
            </w:r>
            <w:r w:rsidRPr="4C4B5386">
              <w:rPr>
                <w:rFonts w:cs="Calibri"/>
              </w:rPr>
              <w:t>, classified separately</w:t>
            </w:r>
            <w:r w:rsidRPr="4C4B5386">
              <w:rPr>
                <w:rFonts w:cs="Calibri"/>
              </w:rPr>
              <w:t xml:space="preserve">), </w:t>
            </w:r>
            <w:r w:rsidRPr="4C4B5386">
              <w:rPr>
                <w:rFonts w:cs="Calibri"/>
              </w:rPr>
              <w:t>B-ALL, T-ALL</w:t>
            </w:r>
            <w:r w:rsidRPr="4C4B5386">
              <w:rPr>
                <w:rFonts w:cs="Calibri"/>
              </w:rPr>
              <w:t xml:space="preserve"> and mixed-phenotype acute leukaemia.</w:t>
            </w:r>
          </w:p>
          <w:p w14:paraId="2C5CCB9F" w14:textId="77777777" w:rsidR="00CF2241" w:rsidRDefault="00CF2241" w:rsidP="00952DB8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  <w:i/>
                <w:iCs/>
              </w:rPr>
              <w:t xml:space="preserve">KMT2A </w:t>
            </w:r>
            <w:r w:rsidRPr="4C4B5386">
              <w:rPr>
                <w:rFonts w:cs="Calibri"/>
              </w:rPr>
              <w:t xml:space="preserve">rearrangements </w:t>
            </w:r>
            <w:r w:rsidRPr="4C4B5386">
              <w:rPr>
                <w:rFonts w:cs="Calibri"/>
              </w:rPr>
              <w:t xml:space="preserve">typically </w:t>
            </w:r>
            <w:r w:rsidRPr="4C4B5386">
              <w:rPr>
                <w:rFonts w:cs="Calibri"/>
              </w:rPr>
              <w:t xml:space="preserve">result </w:t>
            </w:r>
            <w:r w:rsidRPr="4C4B5386">
              <w:rPr>
                <w:rFonts w:cs="Calibri"/>
              </w:rPr>
              <w:t xml:space="preserve">in a </w:t>
            </w:r>
            <w:r w:rsidRPr="4C4B5386">
              <w:rPr>
                <w:rFonts w:cs="Calibri"/>
                <w:i/>
                <w:iCs/>
              </w:rPr>
              <w:t>KMT2A-</w:t>
            </w:r>
            <w:r w:rsidRPr="4C4B5386">
              <w:rPr>
                <w:rFonts w:cs="Calibri"/>
              </w:rPr>
              <w:t>encoded amino</w:t>
            </w:r>
            <w:r w:rsidRPr="4C4B5386">
              <w:rPr>
                <w:rFonts w:cs="Calibri"/>
              </w:rPr>
              <w:t>-</w:t>
            </w:r>
            <w:r w:rsidRPr="4C4B5386">
              <w:rPr>
                <w:rFonts w:cs="Calibri"/>
              </w:rPr>
              <w:t xml:space="preserve">terminus </w:t>
            </w:r>
            <w:r w:rsidRPr="4C4B5386">
              <w:rPr>
                <w:rFonts w:cs="Calibri"/>
              </w:rPr>
              <w:t>partnering with</w:t>
            </w:r>
            <w:r w:rsidRPr="4C4B5386">
              <w:rPr>
                <w:rFonts w:cs="Calibri"/>
              </w:rPr>
              <w:t xml:space="preserve"> </w:t>
            </w:r>
            <w:r w:rsidRPr="4C4B5386">
              <w:rPr>
                <w:rFonts w:cs="Calibri"/>
              </w:rPr>
              <w:t xml:space="preserve">a </w:t>
            </w:r>
            <w:r w:rsidRPr="4C4B5386">
              <w:rPr>
                <w:rFonts w:cs="Calibri"/>
              </w:rPr>
              <w:t>carboxy-terminus encoded by the partner gene</w:t>
            </w:r>
            <w:r w:rsidRPr="4C4B5386">
              <w:rPr>
                <w:rFonts w:cs="Calibri"/>
              </w:rPr>
              <w:t xml:space="preserve">, and a gene </w:t>
            </w:r>
            <w:r w:rsidRPr="4C4B5386">
              <w:rPr>
                <w:rFonts w:cs="Calibri"/>
              </w:rPr>
              <w:t xml:space="preserve">expression profile characterised by overexpression of </w:t>
            </w:r>
            <w:r w:rsidRPr="4C4B5386">
              <w:rPr>
                <w:rFonts w:cs="Calibri"/>
                <w:i/>
                <w:iCs/>
              </w:rPr>
              <w:t xml:space="preserve">HOX </w:t>
            </w:r>
            <w:r w:rsidRPr="4C4B5386">
              <w:rPr>
                <w:rFonts w:cs="Calibri"/>
              </w:rPr>
              <w:t xml:space="preserve">genes. </w:t>
            </w:r>
          </w:p>
          <w:p w14:paraId="2C5CCBA0" w14:textId="33748550" w:rsidR="00CF2241" w:rsidRPr="000E0BC9" w:rsidRDefault="00CF2241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Over 100 </w:t>
            </w:r>
            <w:r w:rsidRPr="7045B249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 fusion partners have been identified</w:t>
            </w:r>
            <w:r>
              <w:rPr>
                <w:rFonts w:cs="Calibri"/>
              </w:rPr>
              <w:t xml:space="preserve">, with the most common in AML </w:t>
            </w:r>
            <w:r>
              <w:rPr>
                <w:rFonts w:cs="Calibri"/>
              </w:rPr>
              <w:t xml:space="preserve">being </w:t>
            </w:r>
            <w:r w:rsidRPr="000E0BC9">
              <w:rPr>
                <w:i/>
                <w:iCs/>
              </w:rPr>
              <w:t>MLLT3</w:t>
            </w:r>
            <w:r>
              <w:t xml:space="preserve"> from </w:t>
            </w:r>
            <w:r w:rsidRPr="000E0BC9">
              <w:t>t(9;11)(p22;q23)</w:t>
            </w:r>
            <w:r w:rsidRPr="000E0BC9">
              <w:t xml:space="preserve">, </w:t>
            </w:r>
            <w:r w:rsidRPr="00D6693A">
              <w:rPr>
                <w:i/>
                <w:iCs/>
              </w:rPr>
              <w:t>MLLT10</w:t>
            </w:r>
            <w:r w:rsidRPr="00D6693A">
              <w:t xml:space="preserve"> from t(10;11)(p12;q23)</w:t>
            </w:r>
            <w:r>
              <w:t xml:space="preserve">, </w:t>
            </w:r>
            <w:r w:rsidRPr="000E0BC9">
              <w:rPr>
                <w:i/>
                <w:iCs/>
              </w:rPr>
              <w:t>ELL</w:t>
            </w:r>
            <w:r w:rsidRPr="000E0BC9">
              <w:rPr>
                <w:i/>
                <w:iCs/>
              </w:rPr>
              <w:t xml:space="preserve"> </w:t>
            </w:r>
            <w:r w:rsidRPr="000E0BC9">
              <w:t xml:space="preserve">from </w:t>
            </w:r>
            <w:r w:rsidRPr="000E0BC9">
              <w:t>t(11;19)(</w:t>
            </w:r>
            <w:r>
              <w:t>q23;</w:t>
            </w:r>
            <w:r w:rsidRPr="000E0BC9">
              <w:t>p13.1</w:t>
            </w:r>
            <w:r w:rsidRPr="000E0BC9">
              <w:t>)</w:t>
            </w:r>
            <w:r w:rsidRPr="000E0BC9">
              <w:t xml:space="preserve">, </w:t>
            </w:r>
            <w:r>
              <w:t xml:space="preserve">and </w:t>
            </w:r>
            <w:r>
              <w:rPr>
                <w:i/>
                <w:iCs/>
              </w:rPr>
              <w:t xml:space="preserve">AFDN </w:t>
            </w:r>
            <w:r>
              <w:t xml:space="preserve">from </w:t>
            </w:r>
            <w:r w:rsidRPr="00D202B1">
              <w:rPr>
                <w:rFonts w:cs="Calibri"/>
              </w:rPr>
              <w:t>t(6;11)(q27;q23)</w:t>
            </w:r>
            <w:r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6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2C5CCBA1" w14:textId="77777777" w:rsidR="00CF2241" w:rsidRDefault="00CF2241" w:rsidP="000F5BC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>-rearranged AML</w:t>
            </w:r>
            <w:r>
              <w:rPr>
                <w:rFonts w:cs="Calibri"/>
              </w:rPr>
              <w:t xml:space="preserve"> is associated with </w:t>
            </w:r>
            <w:r>
              <w:rPr>
                <w:rFonts w:cs="Calibri"/>
              </w:rPr>
              <w:t>additional somatic mutations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commonly involv</w:t>
            </w:r>
            <w:r>
              <w:rPr>
                <w:rFonts w:cs="Calibri"/>
              </w:rPr>
              <w:t>ing the</w:t>
            </w:r>
            <w:r>
              <w:rPr>
                <w:rFonts w:cs="Calibri"/>
              </w:rPr>
              <w:t xml:space="preserve"> RAS pathway (including </w:t>
            </w:r>
            <w:r w:rsidRPr="2A6FCF9D">
              <w:rPr>
                <w:rFonts w:cs="Calibri"/>
                <w:i/>
                <w:iCs/>
              </w:rPr>
              <w:t>KRAS</w:t>
            </w:r>
            <w:r>
              <w:rPr>
                <w:rFonts w:cs="Calibri"/>
              </w:rPr>
              <w:t xml:space="preserve">, </w:t>
            </w:r>
            <w:r w:rsidRPr="2A6FCF9D">
              <w:rPr>
                <w:rFonts w:cs="Calibri"/>
                <w:i/>
                <w:iCs/>
              </w:rPr>
              <w:t>NRAS</w:t>
            </w:r>
            <w:r>
              <w:rPr>
                <w:rFonts w:cs="Calibri"/>
              </w:rPr>
              <w:t xml:space="preserve"> and </w:t>
            </w:r>
            <w:r w:rsidRPr="2A6FCF9D">
              <w:rPr>
                <w:rFonts w:cs="Calibri"/>
                <w:i/>
                <w:iCs/>
              </w:rPr>
              <w:t>PTPN11</w:t>
            </w:r>
            <w:r>
              <w:rPr>
                <w:rFonts w:cs="Calibri"/>
              </w:rPr>
              <w:t>) and</w:t>
            </w:r>
            <w:r>
              <w:rPr>
                <w:rFonts w:cs="Calibri"/>
              </w:rPr>
              <w:t xml:space="preserve"> </w:t>
            </w:r>
            <w:r w:rsidRPr="2A6FCF9D">
              <w:rPr>
                <w:rFonts w:cs="Calibri"/>
                <w:i/>
                <w:iCs/>
              </w:rPr>
              <w:t>FLT3</w:t>
            </w:r>
            <w:r w:rsidRPr="2A6FCF9D">
              <w:rPr>
                <w:rFonts w:cs="Calibri"/>
              </w:rPr>
              <w:t>-TKD</w:t>
            </w:r>
            <w:r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2,7-9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2C5CCBA2" w14:textId="77777777" w:rsidR="00CF2241" w:rsidRPr="000E0BC9" w:rsidRDefault="00CF2241" w:rsidP="000E0BC9">
            <w:pPr>
              <w:pStyle w:val="CLIN3BULLETPOINTS"/>
            </w:pPr>
            <w:r w:rsidRPr="21267823">
              <w:t xml:space="preserve">Separate to </w:t>
            </w:r>
            <w:r w:rsidRPr="000E0BC9">
              <w:t>structural</w:t>
            </w:r>
            <w:r w:rsidRPr="21267823">
              <w:t xml:space="preserve">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rearrangements involving chromosomal translocations, cryptic partial tandem duplication of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(</w:t>
            </w:r>
            <w:r w:rsidRPr="2A6FCF9D">
              <w:rPr>
                <w:i/>
                <w:iCs/>
              </w:rPr>
              <w:t>KMT2A</w:t>
            </w:r>
            <w:r w:rsidRPr="21267823">
              <w:t>-PTD) has also been described, typically in the setting of trisomy 11 or a normal karyotype</w:t>
            </w:r>
            <w:r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10</w:t>
            </w:r>
            <w:r>
              <w:fldChar w:fldCharType="end"/>
            </w:r>
            <w:r w:rsidRPr="21267823">
              <w:t xml:space="preserve">. This is not currently recognised </w:t>
            </w:r>
            <w:r w:rsidRPr="2A6FCF9D">
              <w:t xml:space="preserve">as a distinct </w:t>
            </w:r>
            <w:r w:rsidRPr="2A6FCF9D">
              <w:t xml:space="preserve">AML </w:t>
            </w:r>
            <w:r w:rsidRPr="2A6FCF9D">
              <w:t>category</w:t>
            </w:r>
            <w:r w:rsidRPr="21267823">
              <w:t xml:space="preserve">. </w:t>
            </w:r>
          </w:p>
          <w:p w14:paraId="2C5CCBA3" w14:textId="77777777" w:rsidR="00CF2241" w:rsidRPr="00AA1BDA" w:rsidRDefault="00CF2241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2C5CCBA4" w14:textId="77777777" w:rsidR="00CF2241" w:rsidRDefault="00CF2241" w:rsidP="4C4B5386">
            <w:pPr>
              <w:pStyle w:val="CLIN3BULLETPOINTS"/>
              <w:rPr>
                <w:rFonts w:cs="Calibri"/>
              </w:rPr>
            </w:pPr>
            <w:r w:rsidRPr="21267823">
              <w:rPr>
                <w:rFonts w:cs="Calibri"/>
              </w:rPr>
              <w:t>In the 2022 ELN c</w:t>
            </w:r>
            <w:r w:rsidRPr="21267823">
              <w:rPr>
                <w:rFonts w:cs="Calibri"/>
              </w:rPr>
              <w:t>l</w:t>
            </w:r>
            <w:r w:rsidRPr="21267823">
              <w:rPr>
                <w:rFonts w:cs="Calibri"/>
              </w:rPr>
              <w:t>assification,</w:t>
            </w:r>
            <w:r w:rsidRPr="21267823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AML with t(9;11)(p21.3;q23.3)/</w:t>
            </w:r>
            <w:r w:rsidRPr="2A6FCF9D">
              <w:rPr>
                <w:rFonts w:cs="Calibri"/>
                <w:i/>
                <w:iCs/>
              </w:rPr>
              <w:t>KMT2A</w:t>
            </w:r>
            <w:r w:rsidRPr="2A6FCF9D">
              <w:rPr>
                <w:rFonts w:cs="Calibri"/>
                <w:i/>
                <w:iCs/>
              </w:rPr>
              <w:t>::MLLT3</w:t>
            </w:r>
            <w:r w:rsidRPr="21267823">
              <w:rPr>
                <w:rFonts w:cs="Calibri"/>
              </w:rPr>
              <w:t xml:space="preserve"> </w:t>
            </w:r>
            <w:r w:rsidRPr="21267823">
              <w:rPr>
                <w:rFonts w:cs="Calibri"/>
              </w:rPr>
              <w:t xml:space="preserve">carries an intermediate prognosis, while </w:t>
            </w:r>
            <w:r w:rsidRPr="21267823">
              <w:rPr>
                <w:rFonts w:cs="Calibri"/>
              </w:rPr>
              <w:t>non-</w:t>
            </w:r>
            <w:r w:rsidRPr="2A6FCF9D">
              <w:rPr>
                <w:rFonts w:cs="Calibri"/>
                <w:i/>
                <w:iCs/>
              </w:rPr>
              <w:t>MLLT3</w:t>
            </w:r>
            <w:r w:rsidRPr="21267823">
              <w:rPr>
                <w:rFonts w:cs="Calibri"/>
              </w:rPr>
              <w:t xml:space="preserve"> rearrangements</w:t>
            </w:r>
            <w:r w:rsidRPr="21267823">
              <w:rPr>
                <w:rFonts w:cs="Calibri"/>
              </w:rPr>
              <w:t xml:space="preserve"> [t(v;11q23.3)/</w:t>
            </w:r>
            <w:r w:rsidRPr="2A6FCF9D">
              <w:rPr>
                <w:rFonts w:cs="Calibri"/>
                <w:i/>
                <w:iCs/>
              </w:rPr>
              <w:t>KMT2A</w:t>
            </w:r>
            <w:r w:rsidRPr="21267823">
              <w:rPr>
                <w:rFonts w:cs="Calibri"/>
              </w:rPr>
              <w:t xml:space="preserve">-rearranged] </w:t>
            </w:r>
            <w:r w:rsidRPr="21267823">
              <w:rPr>
                <w:rFonts w:cs="Calibri"/>
              </w:rPr>
              <w:t xml:space="preserve">are </w:t>
            </w:r>
            <w:r w:rsidRPr="21267823">
              <w:rPr>
                <w:rFonts w:cs="Calibri"/>
              </w:rPr>
              <w:t xml:space="preserve">designated as </w:t>
            </w:r>
            <w:r w:rsidRPr="21267823">
              <w:rPr>
                <w:rFonts w:cs="Calibri"/>
              </w:rPr>
              <w:t>adverse-risk</w:t>
            </w:r>
            <w:r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11</w:t>
            </w:r>
            <w:r>
              <w:rPr>
                <w:rFonts w:cs="Calibri"/>
              </w:rPr>
              <w:fldChar w:fldCharType="end"/>
            </w:r>
            <w:r w:rsidRPr="21267823">
              <w:rPr>
                <w:rFonts w:cs="Calibri"/>
              </w:rPr>
              <w:t>.</w:t>
            </w:r>
          </w:p>
          <w:p w14:paraId="2C5CCBA5" w14:textId="77777777" w:rsidR="00CF2241" w:rsidRPr="00B82FE8" w:rsidRDefault="00CF2241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</w:rPr>
              <w:t xml:space="preserve">Although </w:t>
            </w:r>
            <w:r w:rsidRPr="2A6FCF9D">
              <w:rPr>
                <w:rFonts w:cs="Calibri"/>
              </w:rPr>
              <w:t>not currently recommended by the 2021 ELN MRD guidelines</w:t>
            </w:r>
            <w:r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12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,</w:t>
            </w:r>
            <w:r w:rsidRPr="2A6FCF9D">
              <w:rPr>
                <w:rFonts w:cs="Calibri"/>
              </w:rPr>
              <w:t xml:space="preserve"> </w:t>
            </w:r>
            <w:r w:rsidRPr="2A6FCF9D">
              <w:rPr>
                <w:rFonts w:cs="Calibri"/>
                <w:i/>
                <w:iCs/>
              </w:rPr>
              <w:t>KMT2A</w:t>
            </w:r>
            <w:r w:rsidRPr="2A6FCF9D">
              <w:rPr>
                <w:rFonts w:cs="Calibri"/>
              </w:rPr>
              <w:t xml:space="preserve"> rearrangements may be amenable to molecular measurable residual disease (MRD) monitoring to provide independent prognostication post therapy for AML</w:t>
            </w:r>
            <w:r>
              <w:rPr>
                <w:rFonts w:cs="Calibri"/>
              </w:rPr>
              <w:fldChar w:fldCharType="begin">
                <w:fldData xml:space="preserve">PEVuZE5vdGU+PENpdGU+PEF1dGhvcj5MaXU8L0F1dGhvcj48WWVhcj4yMDE0PC9ZZWFyPjxSZWNO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PEVuZE5vdGU+PENpdGU+PEF1dGhvcj5MaXU8L0F1dGhvcj48WWVhcj4yMDE0PC9ZZWFyPjxSZWNO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13,14</w:t>
            </w:r>
            <w:r>
              <w:rPr>
                <w:rFonts w:cs="Calibri"/>
              </w:rPr>
              <w:fldChar w:fldCharType="end"/>
            </w:r>
            <w:r w:rsidRPr="2A6FCF9D">
              <w:rPr>
                <w:rFonts w:cs="Calibri"/>
              </w:rPr>
              <w:t>, but are complicated by variable breakpoints and multiple fusion partners.</w:t>
            </w:r>
          </w:p>
          <w:p w14:paraId="2C5CCBA6" w14:textId="77777777" w:rsidR="00CF2241" w:rsidRPr="00AA1BDA" w:rsidRDefault="00CF2241" w:rsidP="002564C2">
            <w:pPr>
              <w:pStyle w:val="CLIN2SUBHEADINGS"/>
              <w:rPr>
                <w:rFonts w:cs="Calibri"/>
              </w:rPr>
            </w:pPr>
            <w:r w:rsidRPr="2A6FCF9D">
              <w:rPr>
                <w:rFonts w:cs="Calibri"/>
              </w:rPr>
              <w:t>biomarkers of response to therapy</w:t>
            </w:r>
          </w:p>
          <w:p w14:paraId="2C5CCBA7" w14:textId="77777777" w:rsidR="00CF2241" w:rsidRPr="00D41D81" w:rsidRDefault="00CF2241" w:rsidP="0064680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</w:rPr>
              <w:t xml:space="preserve">The interaction between </w:t>
            </w:r>
            <w:r w:rsidRPr="000E0BC9">
              <w:rPr>
                <w:rFonts w:cs="Calibri"/>
              </w:rPr>
              <w:t>KMT2A</w:t>
            </w:r>
            <w:r w:rsidRPr="2A6FCF9D">
              <w:rPr>
                <w:rFonts w:cs="Calibri"/>
              </w:rPr>
              <w:t xml:space="preserve"> fusion protein and its critical oncogenic cofactor, menin, can be </w:t>
            </w:r>
            <w:r w:rsidRPr="2A6FCF9D">
              <w:rPr>
                <w:rFonts w:cs="Calibri"/>
              </w:rPr>
              <w:t xml:space="preserve">targeted </w:t>
            </w:r>
            <w:r w:rsidRPr="2A6FCF9D">
              <w:rPr>
                <w:rFonts w:cs="Calibri"/>
              </w:rPr>
              <w:t>using small molecul</w:t>
            </w:r>
            <w:r w:rsidRPr="2A6FCF9D">
              <w:rPr>
                <w:rFonts w:cs="Calibri"/>
              </w:rPr>
              <w:t>e</w:t>
            </w:r>
            <w:r w:rsidRPr="2A6FCF9D">
              <w:rPr>
                <w:rFonts w:cs="Calibri"/>
              </w:rPr>
              <w:t xml:space="preserve"> inhibitors of menin</w:t>
            </w:r>
            <w:r w:rsidRPr="2A6FCF9D">
              <w:rPr>
                <w:rFonts w:cs="Calibri"/>
              </w:rPr>
              <w:t xml:space="preserve">, which have </w:t>
            </w:r>
            <w:r w:rsidRPr="2A6FCF9D">
              <w:rPr>
                <w:rFonts w:cs="Calibri"/>
              </w:rPr>
              <w:t xml:space="preserve">demonstrated </w:t>
            </w:r>
            <w:r w:rsidRPr="2A6FCF9D">
              <w:rPr>
                <w:rFonts w:cs="Calibri"/>
              </w:rPr>
              <w:t>potent pre-clinical efficacy</w:t>
            </w:r>
            <w:r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cHQiPjE1PC9zdHlsZT48L0Rpc3BsYXlUZXh0PjxyZWNvcmQ+PHJlYy1udW1iZXI+MzY1OTwvcmVj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cHQiPjE1PC9zdHlsZT48L0Rpc3BsYXlUZXh0PjxyZWNvcmQ+PHJlYy1udW1iZXI+MzY1OTwvcmVj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15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 </w:t>
            </w:r>
            <w:r w:rsidRPr="2A6FCF9D">
              <w:rPr>
                <w:rFonts w:cs="Calibri"/>
              </w:rPr>
              <w:t>and</w:t>
            </w:r>
            <w:r w:rsidRPr="2A6FCF9D">
              <w:rPr>
                <w:rFonts w:cs="Calibri"/>
              </w:rPr>
              <w:t xml:space="preserve"> shown</w:t>
            </w:r>
            <w:r w:rsidRPr="2A6FCF9D">
              <w:rPr>
                <w:rFonts w:cs="Calibri"/>
              </w:rPr>
              <w:t xml:space="preserve"> promising activity in early-phase clinical trials</w:t>
            </w:r>
            <w:r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Njwvc3R5bGU+PC9EaXNwbGF5VGV4dD48cmVjb3JkPjxyZWMtbnVtYmVyPjM2MTM8L3JlYy1udW1i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Njwvc3R5bGU+PC9EaXNwbGF5VGV4dD48cmVjb3JkPjxyZWMtbnVtYmVyPjM2MTM8L3JlYy1udW1i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16</w:t>
            </w:r>
            <w:r>
              <w:rPr>
                <w:rFonts w:cs="Calibri"/>
              </w:rPr>
              <w:fldChar w:fldCharType="end"/>
            </w:r>
            <w:r w:rsidRPr="2A6FCF9D">
              <w:rPr>
                <w:rFonts w:cs="Calibri"/>
              </w:rPr>
              <w:t>.</w:t>
            </w:r>
          </w:p>
          <w:p w14:paraId="2C5CCBA8" w14:textId="77777777" w:rsidR="00CF2241" w:rsidRPr="000E0BC9" w:rsidRDefault="00CF2241" w:rsidP="2A6FCF9D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mutations are the target of midostaurin</w:t>
            </w:r>
            <w:r>
              <w:fldChar w:fldCharType="begin">
                <w:fldData xml:space="preserve">PEVuZE5vdGU+PENpdGU+PEF1dGhvcj5TdG9uZTwvQXV0aG9yPjxZZWFyPjIwMTc8L1llYXI+PFJl
Y051bT4yNTQzPC9SZWNOdW0+PERpc3BsYXlUZXh0PjxzdHlsZSBmYWNlPSJzdXBlcnNjcmlwdCI+
MTc8L3N0eWxlPjwvRGlzcGxheVRleHQ+PHJlY29yZD48cmVjLW51bWJlcj4yNTQzPC9yZWMtbnVt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PEVuZE5vdGU+PENpdGU+PEF1dGhvcj5TdG9uZTwvQXV0aG9yPjxZZWFyPjIwMTc8L1llYXI+PFJl
Y051bT4yNTQzPC9SZWNOdW0+PERpc3BsYXlUZXh0PjxzdHlsZSBmYWNlPSJzdXBlcnNjcmlwdCI+
MTc8L3N0eWxlPjwvRGlzcGxheVRleHQ+PHJlY29yZD48cmVjLW51bWJlcj4yNTQzPC9yZWMtbnVt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17</w:t>
            </w:r>
            <w:r>
              <w:fldChar w:fldCharType="end"/>
            </w:r>
            <w:r w:rsidRPr="000E0BC9">
              <w:rPr>
                <w:rFonts w:eastAsia="Calibri" w:cs="Calibri"/>
              </w:rPr>
              <w:t xml:space="preserve">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only)</w:t>
            </w:r>
            <w:r>
              <w:fldChar w:fldCharType="begin">
                <w:fldData xml:space="preserve">PEVuZE5vdGU+PENpdGU+PEF1dGhvcj5FcmJhPC9BdXRob3I+PFllYXI+MjAyMzwvWWVhcj48UmVj
TnVtPjM2Mzk8L1JlY051bT48RGlzcGxheVRleHQ+PHN0eWxlIGZhY2U9InN1cGVyc2NyaXB0Ij4x
ODwvc3R5bGU+PC9EaXNwbGF5VGV4dD48cmVjb3JkPjxyZWMtbnVtYmVyPjM2Mzk8L3JlYy1udW1i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PEVuZE5vdGU+PENpdGU+PEF1dGhvcj5FcmJhPC9BdXRob3I+PFllYXI+MjAyMzwvWWVhcj48UmVj
TnVtPjM2Mzk8L1JlY051bT48RGlzcGxheVRleHQ+PHN0eWxlIGZhY2U9InN1cGVyc2NyaXB0Ij4x
ODwvc3R5bGU+PC9EaXNwbGF5VGV4dD48cmVjb3JkPjxyZWMtbnVtYmVyPjM2Mzk8L3JlYy1udW1i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18</w:t>
            </w:r>
            <w:r>
              <w:fldChar w:fldCharType="end"/>
            </w:r>
            <w:r w:rsidRPr="000E0BC9">
              <w:rPr>
                <w:rFonts w:eastAsia="Calibri" w:cs="Calibri"/>
              </w:rPr>
              <w:t xml:space="preserve"> in newly diagnosed AML, and gilteritinib</w:t>
            </w:r>
            <w:r>
              <w:fldChar w:fldCharType="begin">
                <w:fldData xml:space="preserve">PEVuZE5vdGU+PENpdGU+PEF1dGhvcj5QZXJsPC9BdXRob3I+PFllYXI+MjAxOTwvWWVhcj48UmVj
TnVtPjI1NDQ8L1JlY051bT48RGlzcGxheVRleHQ+PHN0eWxlIGZhY2U9InN1cGVyc2NyaXB0Ij4x
OTwvc3R5bGU+PC9EaXNwbGF5VGV4dD48cmVjb3JkPjxyZWMtbnVtYmVyPjI1NDQ8L3JlYy1udW1i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PEVuZE5vdGU+PENpdGU+PEF1dGhvcj5QZXJsPC9BdXRob3I+PFllYXI+MjAxOTwvWWVhcj48UmVj
TnVtPjI1NDQ8L1JlY051bT48RGlzcGxheVRleHQ+PHN0eWxlIGZhY2U9InN1cGVyc2NyaXB0Ij4x
OTwvc3R5bGU+PC9EaXNwbGF5VGV4dD48cmVjb3JkPjxyZWMtbnVtYmVyPjI1NDQ8L3JlYy1udW1i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19</w:t>
            </w:r>
            <w:r>
              <w:fldChar w:fldCharType="end"/>
            </w:r>
            <w:r w:rsidRPr="000E0BC9">
              <w:rPr>
                <w:rFonts w:eastAsia="Calibri" w:cs="Calibri"/>
              </w:rPr>
              <w:t xml:space="preserve"> in relapsed/refractory AML.</w:t>
            </w:r>
          </w:p>
          <w:p w14:paraId="2C5CCBA9" w14:textId="77777777" w:rsidR="00CF2241" w:rsidRPr="000E0BC9" w:rsidRDefault="00CF2241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testing should be repeated at relapse/progression as ~20% of patients have a change (gain or loss) in mutation status</w:t>
            </w:r>
            <w:r>
              <w:fldChar w:fldCharType="begin">
                <w:fldData xml:space="preserve">PEVuZE5vdGU+PENpdGU+PEF1dGhvcj5EYXZlcjwvQXV0aG9yPjxZZWFyPjIwMTk8L1llYXI+PFJl
Y051bT4zMTI3PC9SZWNOdW0+PERpc3BsYXlUZXh0PjxzdHlsZSBmYWNlPSJzdXBlcnNjcmlwdCI+
MjA8L3N0eWxlPjwvRGlzcGxheVRleHQ+PHJlY29yZD48cmVjLW51bWJlcj4zMTI3PC9yZWMtbnVt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PEVuZE5vdGU+PENpdGU+PEF1dGhvcj5EYXZlcjwvQXV0aG9yPjxZZWFyPjIwMTk8L1llYXI+PFJl
Y051bT4zMTI3PC9SZWNOdW0+PERpc3BsYXlUZXh0PjxzdHlsZSBmYWNlPSJzdXBlcnNjcmlwdCI+
MjA8L3N0eWxlPjwvRGlzcGxheVRleHQ+PHJlY29yZD48cmVjLW51bWJlcj4zMTI3PC9yZWMtbnVt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20</w:t>
            </w:r>
            <w:r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2C5CCBAA" w14:textId="77777777" w:rsidR="00CF2241" w:rsidRPr="000E0BC9" w:rsidRDefault="00CF2241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IDH1</w:t>
            </w:r>
            <w:r w:rsidRPr="000E0BC9">
              <w:rPr>
                <w:rFonts w:eastAsia="Calibri" w:cs="Calibri"/>
              </w:rPr>
              <w:t xml:space="preserve"> (Arg132) and </w:t>
            </w:r>
            <w:r w:rsidRPr="000E0BC9">
              <w:rPr>
                <w:rFonts w:eastAsia="Calibri" w:cs="Calibri"/>
                <w:i/>
                <w:iCs/>
              </w:rPr>
              <w:t>IDH2</w:t>
            </w:r>
            <w:r w:rsidRPr="000E0BC9">
              <w:rPr>
                <w:rFonts w:eastAsia="Calibri" w:cs="Calibri"/>
              </w:rPr>
              <w:t xml:space="preserve"> (both Arg140 and Arg172) mutations are the target of IDH1 and IDH2 inhibitors, respectively</w:t>
            </w:r>
            <w:r>
              <w:fldChar w:fldCharType="begin">
                <w:fldData xml:space="preserve">PEVuZE5vdGU+PENpdGU+PEF1dGhvcj5Eb2huZXI8L0F1dGhvcj48WWVhcj4yMDE3PC9ZZWFyPjxS
ZWNOdW0+MjU4MjwvUmVjTnVtPjxEaXNwbGF5VGV4dD48c3R5bGUgZmFjZT0ic3VwZXJzY3JpcHQi
PjIxPC9zdHlsZT48L0Rpc3BsYXlUZXh0PjxyZWNvcmQ+PHJlYy1udW1iZXI+MjU4MjwvcmVjLW51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PEVuZE5vdGU+PENpdGU+PEF1dGhvcj5Eb2huZXI8L0F1dGhvcj48WWVhcj4yMDE3PC9ZZWFyPjxS
ZWNOdW0+MjU4MjwvUmVjTnVtPjxEaXNwbGF5VGV4dD48c3R5bGUgZmFjZT0ic3VwZXJzY3JpcHQi
PjIxPC9zdHlsZT48L0Rpc3BsYXlUZXh0PjxyZWNvcmQ+PHJlYy1udW1iZXI+MjU4MjwvcmVjLW51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21</w:t>
            </w:r>
            <w:r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2C5CCBAB" w14:textId="77777777" w:rsidR="00CF2241" w:rsidRPr="000E0BC9" w:rsidRDefault="00CF2241" w:rsidP="000E0BC9">
            <w:pPr>
              <w:pStyle w:val="CLIN3BULLETPOINTS"/>
              <w:rPr>
                <w:rFonts w:cs="Calibri"/>
              </w:rPr>
            </w:pPr>
            <w:r w:rsidRPr="2A6FCF9D">
              <w:rPr>
                <w:rFonts w:eastAsia="Calibri" w:cs="Calibri"/>
                <w:color w:val="000000" w:themeColor="text1"/>
              </w:rPr>
              <w:t xml:space="preserve">Several mutations have been described in patients with acquired resistance to targeted inhibitors such as </w:t>
            </w:r>
            <w:r w:rsidRPr="2A6FCF9D">
              <w:rPr>
                <w:rFonts w:eastAsia="Calibri" w:cs="Calibri"/>
                <w:i/>
                <w:iCs/>
                <w:color w:val="000000" w:themeColor="text1"/>
              </w:rPr>
              <w:t>FLT3</w:t>
            </w:r>
            <w:r w:rsidRPr="2A6FCF9D">
              <w:rPr>
                <w:rFonts w:eastAsia="Calibri" w:cs="Calibri"/>
                <w:color w:val="000000" w:themeColor="text1"/>
              </w:rPr>
              <w:t xml:space="preserve"> Phe691Leu </w:t>
            </w:r>
            <w:r>
              <w:t>(FLT3 inhibitors)</w:t>
            </w:r>
            <w:r>
              <w:fldChar w:fldCharType="begin">
                <w:fldData xml:space="preserve">PEVuZE5vdGU+PENpdGU+PEF1dGhvcj5TbWl0aDwvQXV0aG9yPjxZZWFyPjIwMjI8L1llYXI+PFJl
Y051bT4zNjQxPC9SZWNOdW0+PERpc3BsYXlUZXh0PjxzdHlsZSBmYWNlPSJzdXBlcnNjcmlwdCI+
MjI8L3N0eWxlPjwvRGlzcGxheVRleHQ+PHJlY29yZD48cmVjLW51bWJlcj4zNjQxPC9yZWMtbnVt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PEVuZE5vdGU+PENpdGU+PEF1dGhvcj5TbWl0aDwvQXV0aG9yPjxZZWFyPjIwMjI8L1llYXI+PFJl
Y051bT4zNjQxPC9SZWNOdW0+PERpc3BsYXlUZXh0PjxzdHlsZSBmYWNlPSJzdXBlcnNjcmlwdCI+
MjI8L3N0eWxlPjwvRGlzcGxheVRleHQ+PHJlY29yZD48cmVjLW51bWJlcj4zNjQxPC9yZWMtbnVt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22</w:t>
            </w:r>
            <w:r>
              <w:fldChar w:fldCharType="end"/>
            </w:r>
            <w:r>
              <w:t>, second-site IDH1/IDH2 mutations (IDH1/IDH2 inhibitors)</w:t>
            </w:r>
            <w:r>
              <w:fldChar w:fldCharType="begin">
                <w:fldData xml:space="preserve">PEVuZE5vdGU+PENpdGU+PEF1dGhvcj5JbnRsZWtvZmVyPC9BdXRob3I+PFllYXI+MjAxODwvWWVh
cj48UmVjTnVtPjMxNzQ8L1JlY051bT48RGlzcGxheVRleHQ+PHN0eWxlIGZhY2U9InN1cGVyc2Ny
aXB0Ij4yMzwvc3R5bGU+PC9EaXNwbGF5VGV4dD48cmVjb3JkPjxyZWMtbnVtYmVyPjMxNzQ8L3Jl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PEVuZE5vdGU+PENpdGU+PEF1dGhvcj5JbnRsZWtvZmVyPC9BdXRob3I+PFllYXI+MjAxODwvWWVh
cj48UmVjTnVtPjMxNzQ8L1JlY051bT48RGlzcGxheVRleHQ+PHN0eWxlIGZhY2U9InN1cGVyc2Ny
aXB0Ij4yMzwvc3R5bGU+PC9EaXNwbGF5VGV4dD48cmVjb3JkPjxyZWMtbnVtYmVyPjMxNzQ8L3Jl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23</w:t>
            </w:r>
            <w:r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>
              <w:fldChar w:fldCharType="begin">
                <w:fldData xml:space="preserve">PEVuZE5vdGU+PENpdGU+PEF1dGhvcj5Nb3VqYWxsZWQ8L0F1dGhvcj48WWVhcj4yMDIzPC9ZZWFy
PjxSZWNOdW0+MzY0MjwvUmVjTnVtPjxEaXNwbGF5VGV4dD48c3R5bGUgZmFjZT0ic3VwZXJzY3Jp
cHQiPjI0PC9zdHlsZT48L0Rpc3BsYXlUZXh0PjxyZWNvcmQ+PHJlYy1udW1iZXI+MzY0MjwvcmVj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PEVuZE5vdGU+PENpdGU+PEF1dGhvcj5Nb3VqYWxsZWQ8L0F1dGhvcj48WWVhcj4yMDIzPC9ZZWFy
PjxSZWNOdW0+MzY0MjwvUmVjTnVtPjxEaXNwbGF5VGV4dD48c3R5bGUgZmFjZT0ic3VwZXJzY3Jp
cHQiPjI0PC9zdHlsZT48L0Rpc3BsYXlUZXh0PjxyZWNvcmQ+PHJlYy1udW1iZXI+MzY0MjwvcmVj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24</w:t>
            </w:r>
            <w:r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>
              <w:fldChar w:fldCharType="begin">
                <w:fldData xml:space="preserve">PEVuZE5vdGU+PENpdGU+PEF1dGhvcj5QZXJuZXI8L0F1dGhvcj48WWVhcj4yMDIzPC9ZZWFyPjxS
ZWNOdW0+MzY0MzwvUmVjTnVtPjxEaXNwbGF5VGV4dD48c3R5bGUgZmFjZT0ic3VwZXJzY3JpcHQi
PjI1PC9zdHlsZT48L0Rpc3BsYXlUZXh0PjxyZWNvcmQ+PHJlYy1udW1iZXI+MzY0MzwvcmVjLW51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PEVuZE5vdGU+PENpdGU+PEF1dGhvcj5QZXJuZXI8L0F1dGhvcj48WWVhcj4yMDIzPC9ZZWFyPjxS
ZWNOdW0+MzY0MzwvUmVjTnVtPjxEaXNwbGF5VGV4dD48c3R5bGUgZmFjZT0ic3VwZXJzY3JpcHQi
PjI1PC9zdHlsZT48L0Rpc3BsYXlUZXh0PjxyZWNvcmQ+PHJlYy1udW1iZXI+MzY0MzwvcmVjLW51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25</w:t>
            </w:r>
            <w:r>
              <w:fldChar w:fldCharType="end"/>
            </w:r>
            <w:r w:rsidRPr="2A6FCF9D">
              <w:rPr>
                <w:rFonts w:eastAsia="Calibri" w:cs="Calibri"/>
                <w:color w:val="000000" w:themeColor="text1"/>
              </w:rPr>
              <w:t>.</w:t>
            </w:r>
          </w:p>
          <w:p w14:paraId="2C5CCBAC" w14:textId="77777777" w:rsidR="00CF2241" w:rsidRPr="00AA1BDA" w:rsidRDefault="00CF2241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2C5CCBAD" w14:textId="77777777" w:rsidR="00CF2241" w:rsidRPr="00AA1BDA" w:rsidRDefault="00CF2241" w:rsidP="00BE7F49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BE7F49">
              <w:rPr>
                <w:b/>
              </w:rPr>
              <w:t>1.</w:t>
            </w:r>
            <w:r w:rsidRPr="00BE7F49">
              <w:t xml:space="preserve"> Schoch C, et al. AML with 11q23/MLL abnormalities as defined by the WHO classification: incidence, partner chromosomes, FAB subtype, age distribution, and prognostic impact in an unselected series of 1897 cytogenetically analyzed AML cases. </w:t>
            </w:r>
            <w:r w:rsidRPr="00BE7F49">
              <w:rPr>
                <w:i/>
              </w:rPr>
              <w:t>Blood</w:t>
            </w:r>
            <w:r w:rsidRPr="00BE7F49">
              <w:t xml:space="preserve"> 2003; </w:t>
            </w:r>
            <w:r w:rsidRPr="00BE7F49">
              <w:rPr>
                <w:b/>
              </w:rPr>
              <w:t>102</w:t>
            </w:r>
            <w:r w:rsidRPr="00BE7F49">
              <w:t xml:space="preserve">(7): 2395-402.  </w:t>
            </w:r>
            <w:r w:rsidRPr="00BE7F49">
              <w:rPr>
                <w:b/>
              </w:rPr>
              <w:t>2.</w:t>
            </w:r>
            <w:r w:rsidRPr="00BE7F49">
              <w:t xml:space="preserve"> Papaemmanuil E, et al. Genomic Classification and Prognosis in Acute Myeloid Leukemia. </w:t>
            </w:r>
            <w:r w:rsidRPr="00BE7F49">
              <w:rPr>
                <w:i/>
              </w:rPr>
              <w:t>N Engl J Med</w:t>
            </w:r>
            <w:r w:rsidRPr="00BE7F49">
              <w:t xml:space="preserve"> 2016; </w:t>
            </w:r>
            <w:r w:rsidRPr="00BE7F49">
              <w:rPr>
                <w:b/>
              </w:rPr>
              <w:t>374</w:t>
            </w:r>
            <w:r w:rsidRPr="00BE7F49">
              <w:t xml:space="preserve">(23): 2209-21.  </w:t>
            </w:r>
            <w:r w:rsidRPr="00BE7F49">
              <w:rPr>
                <w:b/>
              </w:rPr>
              <w:t>3.</w:t>
            </w:r>
            <w:r w:rsidRPr="00BE7F49">
              <w:t xml:space="preserve"> Raimondi SC, et al. Chromosomal abnormalities in 478 children with acute myeloid leukemia: clinical characteristics and treatment outcome in a cooperative pediatric oncology group study-POG 8821. </w:t>
            </w:r>
            <w:r w:rsidRPr="00BE7F49">
              <w:rPr>
                <w:i/>
              </w:rPr>
              <w:t>Blood</w:t>
            </w:r>
            <w:r w:rsidRPr="00BE7F49">
              <w:t xml:space="preserve"> 1999; </w:t>
            </w:r>
            <w:r w:rsidRPr="00BE7F49">
              <w:rPr>
                <w:b/>
              </w:rPr>
              <w:t>94</w:t>
            </w:r>
            <w:r w:rsidRPr="00BE7F49">
              <w:t xml:space="preserve">(11): 3707-16.  </w:t>
            </w:r>
            <w:r w:rsidRPr="00BE7F49">
              <w:rPr>
                <w:b/>
              </w:rPr>
              <w:t>4.</w:t>
            </w:r>
            <w:r w:rsidRPr="00BE7F49">
              <w:t xml:space="preserve"> Harrison CJ, et al. Cytogenetics of childhood acute myeloid leukemia: United Kingdom Medical Research Council Treatment trials AML 10 and 12. </w:t>
            </w:r>
            <w:r w:rsidRPr="00BE7F49">
              <w:rPr>
                <w:i/>
              </w:rPr>
              <w:t>J Clin Oncol</w:t>
            </w:r>
            <w:r w:rsidRPr="00BE7F49">
              <w:t xml:space="preserve"> 2010; </w:t>
            </w:r>
            <w:r w:rsidRPr="00BE7F49">
              <w:rPr>
                <w:b/>
              </w:rPr>
              <w:t>28</w:t>
            </w:r>
            <w:r w:rsidRPr="00BE7F49">
              <w:t xml:space="preserve">(16): 2674-81.  </w:t>
            </w:r>
            <w:r w:rsidRPr="00BE7F49">
              <w:rPr>
                <w:b/>
              </w:rPr>
              <w:t>5.</w:t>
            </w:r>
            <w:r w:rsidRPr="00BE7F49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BE7F49">
              <w:rPr>
                <w:b/>
              </w:rPr>
              <w:t>6.</w:t>
            </w:r>
            <w:r w:rsidRPr="00BE7F49">
              <w:t xml:space="preserve"> Meyer C, et al. The KMT2A recombinome of acute leukemias in 2023. </w:t>
            </w:r>
            <w:r w:rsidRPr="00BE7F49">
              <w:rPr>
                <w:i/>
              </w:rPr>
              <w:t>Leukemia</w:t>
            </w:r>
            <w:r w:rsidRPr="00BE7F49">
              <w:t xml:space="preserve"> 2023; </w:t>
            </w:r>
            <w:r w:rsidRPr="00BE7F49">
              <w:rPr>
                <w:b/>
              </w:rPr>
              <w:t>37</w:t>
            </w:r>
            <w:r w:rsidRPr="00BE7F49">
              <w:t xml:space="preserve">(5): 988-1005.  </w:t>
            </w:r>
            <w:r w:rsidRPr="00BE7F49">
              <w:rPr>
                <w:b/>
              </w:rPr>
              <w:t>7.</w:t>
            </w:r>
            <w:r w:rsidRPr="00BE7F49">
              <w:t xml:space="preserve"> Bill M, et al. Mutational landscape and clinical outcome of patients with de novo acute myeloid leukemia and rearrangements involving 11q23/KMT2A</w:t>
            </w:r>
            <w:r w:rsidRPr="00BE7F49">
              <w:t xml:space="preserve">. </w:t>
            </w:r>
            <w:r w:rsidRPr="00BE7F49">
              <w:rPr>
                <w:i/>
              </w:rPr>
              <w:t>Proc Natl Acad Sci U S A</w:t>
            </w:r>
            <w:r w:rsidRPr="00BE7F49">
              <w:t xml:space="preserve"> 2020; </w:t>
            </w:r>
            <w:r w:rsidRPr="00BE7F49">
              <w:rPr>
                <w:b/>
              </w:rPr>
              <w:t>117</w:t>
            </w:r>
            <w:r w:rsidRPr="00BE7F49">
              <w:t xml:space="preserve">(42): 26340-6.  </w:t>
            </w:r>
            <w:r w:rsidRPr="00BE7F49">
              <w:rPr>
                <w:b/>
              </w:rPr>
              <w:t>8.</w:t>
            </w:r>
            <w:r w:rsidRPr="00BE7F49">
              <w:t xml:space="preserve"> Yuen KY, et al. Mutational landscape and clinical outcome of pediatric acute myeloid leukemia with 11q23/KMT2A rearrangements. </w:t>
            </w:r>
            <w:r w:rsidRPr="00BE7F49">
              <w:rPr>
                <w:i/>
              </w:rPr>
              <w:t>Cancer Med</w:t>
            </w:r>
            <w:r w:rsidRPr="00BE7F49">
              <w:t xml:space="preserve"> 2023; </w:t>
            </w:r>
            <w:r w:rsidRPr="00BE7F49">
              <w:rPr>
                <w:b/>
              </w:rPr>
              <w:t>12</w:t>
            </w:r>
            <w:r w:rsidRPr="00BE7F49">
              <w:t xml:space="preserve">(2): 1418-30.  </w:t>
            </w:r>
            <w:r w:rsidRPr="00BE7F49">
              <w:rPr>
                <w:b/>
              </w:rPr>
              <w:t>9.</w:t>
            </w:r>
            <w:r w:rsidRPr="00BE7F49">
              <w:t xml:space="preserve"> Issa GC, et al. Predictors of outcomes in adults with acute myeloid leukemia and KMT2A rearrangements. </w:t>
            </w:r>
            <w:r w:rsidRPr="00BE7F49">
              <w:rPr>
                <w:i/>
              </w:rPr>
              <w:t>Blood Cancer J</w:t>
            </w:r>
            <w:r w:rsidRPr="00BE7F49">
              <w:t xml:space="preserve"> 2021; </w:t>
            </w:r>
            <w:r w:rsidRPr="00BE7F49">
              <w:rPr>
                <w:b/>
              </w:rPr>
              <w:t>11</w:t>
            </w:r>
            <w:r w:rsidRPr="00BE7F49">
              <w:t xml:space="preserve">(9): 162.  </w:t>
            </w:r>
            <w:r w:rsidRPr="00BE7F49">
              <w:rPr>
                <w:b/>
              </w:rPr>
              <w:t>10.</w:t>
            </w:r>
            <w:r w:rsidRPr="00BE7F49">
              <w:t xml:space="preserve"> Schnittger S, et al. Screening for MLL tandem duplication in 387 unselected patients with AML identify a prognostically unfavorable subset of AML. </w:t>
            </w:r>
            <w:r w:rsidRPr="00BE7F49">
              <w:rPr>
                <w:i/>
              </w:rPr>
              <w:t>Leuke</w:t>
            </w:r>
            <w:r w:rsidRPr="00BE7F49">
              <w:rPr>
                <w:i/>
              </w:rPr>
              <w:t>mia</w:t>
            </w:r>
            <w:r w:rsidRPr="00BE7F49">
              <w:t xml:space="preserve"> 2000; </w:t>
            </w:r>
            <w:r w:rsidRPr="00BE7F49">
              <w:rPr>
                <w:b/>
              </w:rPr>
              <w:t>14</w:t>
            </w:r>
            <w:r w:rsidRPr="00BE7F49">
              <w:t xml:space="preserve">(5): 796-804.  </w:t>
            </w:r>
            <w:r w:rsidRPr="00BE7F49">
              <w:rPr>
                <w:b/>
              </w:rPr>
              <w:t>11.</w:t>
            </w:r>
            <w:r w:rsidRPr="00BE7F49">
              <w:t xml:space="preserve"> Dohner H, et al. Diagnosis and management of AML in adults: 2022 recommendations from an international expert panel on behalf of the ELN. </w:t>
            </w:r>
            <w:r w:rsidRPr="00BE7F49">
              <w:rPr>
                <w:i/>
              </w:rPr>
              <w:t>Blood</w:t>
            </w:r>
            <w:r w:rsidRPr="00BE7F49">
              <w:t xml:space="preserve"> 2022; </w:t>
            </w:r>
            <w:r w:rsidRPr="00BE7F49">
              <w:rPr>
                <w:b/>
              </w:rPr>
              <w:t>140</w:t>
            </w:r>
            <w:r w:rsidRPr="00BE7F49">
              <w:t xml:space="preserve">(12): 1345-77.  </w:t>
            </w:r>
            <w:r w:rsidRPr="00BE7F49">
              <w:rPr>
                <w:b/>
              </w:rPr>
              <w:t>12.</w:t>
            </w:r>
            <w:r w:rsidRPr="00BE7F49">
              <w:t xml:space="preserve"> Heuser M, et al. 2021 Update on MRD in acute myeloid leukemia: a consensus document from the European LeukemiaNet MRD Working Party. </w:t>
            </w:r>
            <w:r w:rsidRPr="00BE7F49">
              <w:rPr>
                <w:i/>
              </w:rPr>
              <w:t>Blood</w:t>
            </w:r>
            <w:r w:rsidRPr="00BE7F49">
              <w:t xml:space="preserve"> 2021; </w:t>
            </w:r>
            <w:r w:rsidRPr="00BE7F49">
              <w:rPr>
                <w:b/>
              </w:rPr>
              <w:t>138</w:t>
            </w:r>
            <w:r w:rsidRPr="00BE7F49">
              <w:t xml:space="preserve">(26): 2753-67.  </w:t>
            </w:r>
            <w:r w:rsidRPr="00BE7F49">
              <w:rPr>
                <w:b/>
              </w:rPr>
              <w:t>13.</w:t>
            </w:r>
            <w:r w:rsidRPr="00BE7F49">
              <w:t xml:space="preserve"> Liu J, et al. Monitoring mixed lineage leukemia expression may help identify patients with mixed lineage leukemia--rearranged acute leukemia</w:t>
            </w:r>
            <w:r w:rsidRPr="00BE7F49">
              <w:t xml:space="preserve"> who are at high risk of relapse after allogeneic hematopoietic stem cell transplantation. </w:t>
            </w:r>
            <w:r w:rsidRPr="00BE7F49">
              <w:rPr>
                <w:i/>
              </w:rPr>
              <w:t>Biol Blood Marrow Transplant</w:t>
            </w:r>
            <w:r w:rsidRPr="00BE7F49">
              <w:t xml:space="preserve"> 2014; </w:t>
            </w:r>
            <w:r w:rsidRPr="00BE7F49">
              <w:rPr>
                <w:b/>
              </w:rPr>
              <w:t>20</w:t>
            </w:r>
            <w:r w:rsidRPr="00BE7F49">
              <w:t xml:space="preserve">(7): 929-36.  </w:t>
            </w:r>
            <w:r w:rsidRPr="00BE7F49">
              <w:rPr>
                <w:b/>
              </w:rPr>
              <w:t>14.</w:t>
            </w:r>
            <w:r w:rsidRPr="00BE7F49">
              <w:t xml:space="preserve"> Huang S, et al. Prognostic Significance of Mixed-Lineage Leukemia (MLL) Gene Detected by Real-Time Fluorescence Quantitative PCR Assay in Acute Myeloid Leukemia. </w:t>
            </w:r>
            <w:r w:rsidRPr="00BE7F49">
              <w:rPr>
                <w:i/>
              </w:rPr>
              <w:t>Med Sci Monit</w:t>
            </w:r>
            <w:r w:rsidRPr="00BE7F49">
              <w:t xml:space="preserve"> 2016; </w:t>
            </w:r>
            <w:r w:rsidRPr="00BE7F49">
              <w:rPr>
                <w:b/>
              </w:rPr>
              <w:t>22</w:t>
            </w:r>
            <w:r w:rsidRPr="00BE7F49">
              <w:t xml:space="preserve">: 3009-17.  </w:t>
            </w:r>
            <w:r w:rsidRPr="00BE7F49">
              <w:rPr>
                <w:b/>
              </w:rPr>
              <w:t>15.</w:t>
            </w:r>
            <w:r w:rsidRPr="00BE7F49">
              <w:t xml:space="preserve"> Grembecka J, et al. Menin-MLL inhibitors reverse oncogenic activity of MLL fusion proteins in leukemia. </w:t>
            </w:r>
            <w:r w:rsidRPr="00BE7F49">
              <w:rPr>
                <w:i/>
              </w:rPr>
              <w:t>Nat Chem Biol</w:t>
            </w:r>
            <w:r w:rsidRPr="00BE7F49">
              <w:t xml:space="preserve"> 2012; </w:t>
            </w:r>
            <w:r w:rsidRPr="00BE7F49">
              <w:rPr>
                <w:b/>
              </w:rPr>
              <w:t>8</w:t>
            </w:r>
            <w:r w:rsidRPr="00BE7F49">
              <w:t xml:space="preserve">(3): 277-84.  </w:t>
            </w:r>
            <w:r w:rsidRPr="00BE7F49">
              <w:rPr>
                <w:b/>
              </w:rPr>
              <w:t>16.</w:t>
            </w:r>
            <w:r w:rsidRPr="00BE7F49">
              <w:t xml:space="preserve"> Issa GC, et al. The men</w:t>
            </w:r>
            <w:r w:rsidRPr="00BE7F49">
              <w:t xml:space="preserve">in inhibitor revumenib in KMT2A-rearranged or NPM1-mutant leukaemia. </w:t>
            </w:r>
            <w:r w:rsidRPr="00BE7F49">
              <w:rPr>
                <w:i/>
              </w:rPr>
              <w:t>Nature</w:t>
            </w:r>
            <w:r w:rsidRPr="00BE7F49">
              <w:t xml:space="preserve"> 2023; </w:t>
            </w:r>
            <w:r w:rsidRPr="00BE7F49">
              <w:rPr>
                <w:b/>
              </w:rPr>
              <w:t>615</w:t>
            </w:r>
            <w:r w:rsidRPr="00BE7F49">
              <w:t xml:space="preserve">(7954): 920-4.  </w:t>
            </w:r>
            <w:r w:rsidRPr="00BE7F49">
              <w:rPr>
                <w:b/>
              </w:rPr>
              <w:t>17.</w:t>
            </w:r>
            <w:r w:rsidRPr="00BE7F49">
              <w:t xml:space="preserve"> Stone RM, et al. Midostaurin plus Chemotherapy for Acute Myeloid Leukemia with a FLT3 Mutation. </w:t>
            </w:r>
            <w:r w:rsidRPr="00BE7F49">
              <w:rPr>
                <w:i/>
              </w:rPr>
              <w:t>N Engl J Med</w:t>
            </w:r>
            <w:r w:rsidRPr="00BE7F49">
              <w:t xml:space="preserve"> 2017; </w:t>
            </w:r>
            <w:r w:rsidRPr="00BE7F49">
              <w:rPr>
                <w:b/>
              </w:rPr>
              <w:t>377</w:t>
            </w:r>
            <w:r w:rsidRPr="00BE7F49">
              <w:t xml:space="preserve">(5): 454-64.  </w:t>
            </w:r>
            <w:r w:rsidRPr="00BE7F49">
              <w:rPr>
                <w:b/>
              </w:rPr>
              <w:t>18.</w:t>
            </w:r>
            <w:r w:rsidRPr="00BE7F49"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Pr="00BE7F49">
              <w:rPr>
                <w:i/>
              </w:rPr>
              <w:t>Lancet</w:t>
            </w:r>
            <w:r w:rsidRPr="00BE7F49">
              <w:t xml:space="preserve"> 2023; </w:t>
            </w:r>
            <w:r w:rsidRPr="00BE7F49">
              <w:rPr>
                <w:b/>
              </w:rPr>
              <w:t>401</w:t>
            </w:r>
            <w:r w:rsidRPr="00BE7F49">
              <w:t xml:space="preserve">(10388): 1571-83.  </w:t>
            </w:r>
            <w:r w:rsidRPr="00BE7F49">
              <w:rPr>
                <w:b/>
              </w:rPr>
              <w:t>19.</w:t>
            </w:r>
            <w:r w:rsidRPr="00BE7F49">
              <w:t xml:space="preserve"> Perl AE, et al. Gilteritinib or Chemotherapy for Relapsed or Refractory FLT3-Mutated AML. </w:t>
            </w:r>
            <w:r w:rsidRPr="00BE7F49">
              <w:rPr>
                <w:i/>
              </w:rPr>
              <w:t>N Engl J Med</w:t>
            </w:r>
            <w:r w:rsidRPr="00BE7F49">
              <w:t xml:space="preserve"> 2019; </w:t>
            </w:r>
            <w:r w:rsidRPr="00BE7F49">
              <w:rPr>
                <w:b/>
              </w:rPr>
              <w:t>381</w:t>
            </w:r>
            <w:r w:rsidRPr="00BE7F49">
              <w:t xml:space="preserve">(18): 1728-40.  </w:t>
            </w:r>
            <w:r w:rsidRPr="00BE7F49">
              <w:rPr>
                <w:b/>
              </w:rPr>
              <w:t>20.</w:t>
            </w:r>
            <w:r w:rsidRPr="00BE7F49">
              <w:t xml:space="preserve"> Daver N, et al. Targeting FLT3 mutations in AML: review of current knowledge and evidence. </w:t>
            </w:r>
            <w:r w:rsidRPr="00BE7F49">
              <w:rPr>
                <w:i/>
              </w:rPr>
              <w:t>Leukemia</w:t>
            </w:r>
            <w:r w:rsidRPr="00BE7F49">
              <w:t xml:space="preserve"> 2019; </w:t>
            </w:r>
            <w:r w:rsidRPr="00BE7F49">
              <w:rPr>
                <w:b/>
              </w:rPr>
              <w:t>33</w:t>
            </w:r>
            <w:r w:rsidRPr="00BE7F49">
              <w:t>(2): 29</w:t>
            </w:r>
            <w:r w:rsidRPr="00BE7F49">
              <w:t xml:space="preserve">9-312.  </w:t>
            </w:r>
            <w:r w:rsidRPr="00BE7F49">
              <w:rPr>
                <w:b/>
              </w:rPr>
              <w:t>21.</w:t>
            </w:r>
            <w:r w:rsidRPr="00BE7F49">
              <w:t xml:space="preserve"> Dohner H, et al. Diagnosis and management of AML in adults: 2017 ELN recommendations from an international expert panel. </w:t>
            </w:r>
            <w:r w:rsidRPr="00BE7F49">
              <w:rPr>
                <w:i/>
              </w:rPr>
              <w:t>Blood</w:t>
            </w:r>
            <w:r w:rsidRPr="00BE7F49">
              <w:t xml:space="preserve"> 2017; </w:t>
            </w:r>
            <w:r w:rsidRPr="00BE7F49">
              <w:rPr>
                <w:b/>
              </w:rPr>
              <w:t>129</w:t>
            </w:r>
            <w:r w:rsidRPr="00BE7F49">
              <w:t xml:space="preserve">(4): 424-47.  </w:t>
            </w:r>
            <w:r w:rsidRPr="00BE7F49">
              <w:rPr>
                <w:b/>
              </w:rPr>
              <w:t>22.</w:t>
            </w:r>
            <w:r w:rsidRPr="00BE7F49">
              <w:t xml:space="preserve"> Smith CC, et al. Molecular profile of FLT3-mutated relapsed/refractory patients with AML in the phase 3 ADMIRAL study of gilteritinib. </w:t>
            </w:r>
            <w:r w:rsidRPr="00BE7F49">
              <w:rPr>
                <w:i/>
              </w:rPr>
              <w:t>Blood Adv</w:t>
            </w:r>
            <w:r w:rsidRPr="00BE7F49">
              <w:t xml:space="preserve"> 2022; </w:t>
            </w:r>
            <w:r w:rsidRPr="00BE7F49">
              <w:rPr>
                <w:b/>
              </w:rPr>
              <w:t>6</w:t>
            </w:r>
            <w:r w:rsidRPr="00BE7F49">
              <w:t xml:space="preserve">(7): 2144-55.  </w:t>
            </w:r>
            <w:r w:rsidRPr="00BE7F49">
              <w:rPr>
                <w:b/>
              </w:rPr>
              <w:t>23.</w:t>
            </w:r>
            <w:r w:rsidRPr="00BE7F49">
              <w:t xml:space="preserve"> Intlekofer AM, et al. Acquired resistance to IDH inhibition through trans or cis dimer-interface mutations. </w:t>
            </w:r>
            <w:r w:rsidRPr="00BE7F49">
              <w:rPr>
                <w:i/>
              </w:rPr>
              <w:t>Nature</w:t>
            </w:r>
            <w:r w:rsidRPr="00BE7F49">
              <w:t xml:space="preserve"> 2018; </w:t>
            </w:r>
            <w:r w:rsidRPr="00BE7F49">
              <w:rPr>
                <w:b/>
              </w:rPr>
              <w:t>559</w:t>
            </w:r>
            <w:r w:rsidRPr="00BE7F49">
              <w:t xml:space="preserve">(7712): 125-9.  </w:t>
            </w:r>
            <w:r w:rsidRPr="00BE7F49">
              <w:rPr>
                <w:b/>
              </w:rPr>
              <w:t>24.</w:t>
            </w:r>
            <w:r w:rsidRPr="00BE7F49">
              <w:t xml:space="preserve"> Moujalled DM, et al. Acquired m</w:t>
            </w:r>
            <w:r w:rsidRPr="00BE7F49">
              <w:t xml:space="preserve">utations in BAX confer resistance to BH3-mimetic therapy in acute myeloid leukemia. </w:t>
            </w:r>
            <w:r w:rsidRPr="00BE7F49">
              <w:rPr>
                <w:i/>
              </w:rPr>
              <w:t>Blood</w:t>
            </w:r>
            <w:r w:rsidRPr="00BE7F49">
              <w:t xml:space="preserve"> 2023; </w:t>
            </w:r>
            <w:r w:rsidRPr="00BE7F49">
              <w:rPr>
                <w:b/>
              </w:rPr>
              <w:t>141</w:t>
            </w:r>
            <w:r w:rsidRPr="00BE7F49">
              <w:t xml:space="preserve">(6): 634-44.  </w:t>
            </w:r>
            <w:r w:rsidRPr="00BE7F49">
              <w:rPr>
                <w:b/>
              </w:rPr>
              <w:t>25.</w:t>
            </w:r>
            <w:r w:rsidRPr="00BE7F49">
              <w:t xml:space="preserve"> Perner F, et al. MEN1 mutations mediate clinical resistance to menin inhibition. </w:t>
            </w:r>
            <w:r w:rsidRPr="00BE7F49">
              <w:rPr>
                <w:i/>
              </w:rPr>
              <w:t>Nature</w:t>
            </w:r>
            <w:r w:rsidRPr="00BE7F49">
              <w:t xml:space="preserve"> 2023; </w:t>
            </w:r>
            <w:r w:rsidRPr="00BE7F49">
              <w:rPr>
                <w:b/>
              </w:rPr>
              <w:t>615</w:t>
            </w:r>
            <w:r w:rsidRPr="00BE7F49">
              <w:t xml:space="preserve">(7954): 913-9.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2C5CCBAF" w14:textId="77777777" w:rsidR="00CF2241" w:rsidRDefault="00CF2241" w:rsidP="00DF13E7">
      <w:pPr>
        <w:rPr>
          <w:rFonts w:ascii="Calibri" w:hAnsi="Calibri" w:cs="Calibri"/>
          <w:noProof/>
          <w:sz w:val="6"/>
          <w:szCs w:val="6"/>
        </w:rPr>
      </w:pPr>
    </w:p>
    <w:p w14:paraId="2C5CCBB0" w14:textId="77777777" w:rsidR="00CF2241" w:rsidRDefault="00CF2241" w:rsidP="00DF13E7">
      <w:pPr>
        <w:rPr>
          <w:rFonts w:ascii="Calibri" w:hAnsi="Calibri" w:cs="Calibri"/>
          <w:noProof/>
          <w:sz w:val="6"/>
          <w:szCs w:val="6"/>
        </w:rPr>
      </w:pPr>
    </w:p>
    <w:p w14:paraId="2C5CCBB1" w14:textId="77777777" w:rsidR="00CF2241" w:rsidRDefault="00CF2241" w:rsidP="00DF13E7">
      <w:pPr>
        <w:rPr>
          <w:rFonts w:ascii="Calibri" w:hAnsi="Calibri" w:cs="Calibri"/>
          <w:noProof/>
          <w:sz w:val="6"/>
          <w:szCs w:val="6"/>
        </w:rPr>
      </w:pPr>
    </w:p>
    <w:sectPr w:rsidR="004377B2" w:rsidSect="00FC3DB3">
      <w:pgSz w:w="11900" w:h="16840"/>
      <w:pgMar w:top="1674" w:right="851" w:bottom="1134" w:left="851" w:header="680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962"/>
    <w:rsid w:val="008A0962"/>
    <w:rsid w:val="00B11CAE"/>
    <w:rsid w:val="00C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CB9A"/>
  <w15:docId w15:val="{19504417-E573-4DD3-BC22-8A36E252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Props1.xml><?xml version="1.0" encoding="utf-8"?>
<ds:datastoreItem xmlns:ds="http://schemas.openxmlformats.org/officeDocument/2006/customXml" ds:itemID="{0B9D3A01-4E24-43C9-BB37-7A7EBF96F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8096C-3ADF-4D46-8EA5-DF482D354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B99E66-D313-41A8-B7A8-5A0A1A90EE02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MENG DU</cp:lastModifiedBy>
  <cp:revision>7</cp:revision>
  <dcterms:created xsi:type="dcterms:W3CDTF">2021-10-25T06:18:00Z</dcterms:created>
  <dcterms:modified xsi:type="dcterms:W3CDTF">2025-04-27T23:49:00Z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