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0FA318EA" w14:textId="77777777" w:rsidTr="009A00F7">
        <w:trPr>
          <w:trHeight w:val="17"/>
          <w:jc w:val="center"/>
        </w:trPr>
        <w:tc>
          <w:tcPr>
            <w:tcW w:w="10168" w:type="dxa"/>
            <w:shd w:val="clear" w:color="auto" w:fill="E8E7EC"/>
          </w:tcPr>
          <w:p w14:paraId="0FA318D4" w14:textId="77777777" w:rsidR="00764717" w:rsidRPr="003C6E2C" w:rsidRDefault="00764717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  <w:t xml:space="preserve">aml WITH </w:t>
            </w:r>
            <w:r w:rsidRPr="00AA1BDA">
              <w:rPr>
                <w:rFonts w:cs="Calibri"/>
                <w:i/>
                <w:lang w:eastAsia="en-AU"/>
              </w:rPr>
              <w:t>NPM1</w:t>
            </w:r>
            <w:r>
              <w:rPr>
                <w:rFonts w:cs="Calibri"/>
                <w:iCs/>
                <w:lang w:eastAsia="en-AU"/>
              </w:rPr>
              <w:t xml:space="preserve"> MUTATION</w:t>
            </w:r>
          </w:p>
          <w:p w14:paraId="0FA318D5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0FA318D6" w14:textId="1F8D6EF3" w:rsidR="00764717" w:rsidRDefault="00764717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the most common genetic abnormality in adult </w:t>
            </w:r>
            <w:r w:rsidR="00A26125">
              <w:rPr>
                <w:rFonts w:cs="Calibri"/>
              </w:rPr>
              <w:t>acute myeloid leukaemia (</w:t>
            </w:r>
            <w:r w:rsidRPr="00AA1BDA">
              <w:rPr>
                <w:rFonts w:cs="Calibri"/>
              </w:rPr>
              <w:t>AML</w:t>
            </w:r>
            <w:r w:rsidR="00A26125">
              <w:rPr>
                <w:rFonts w:cs="Calibri"/>
              </w:rPr>
              <w:t>)</w:t>
            </w:r>
            <w:r w:rsidRPr="00AA1BDA">
              <w:rPr>
                <w:rFonts w:cs="Calibri"/>
              </w:rPr>
              <w:t>, accounting for approximately 30% of cases overall and a higher proportion in cases with a normal karyotype.</w:t>
            </w:r>
          </w:p>
          <w:p w14:paraId="6B2AD19D" w14:textId="1491F18B" w:rsidR="007825C6" w:rsidRPr="007825C6" w:rsidRDefault="007825C6" w:rsidP="007825C6">
            <w:pPr>
              <w:pStyle w:val="CLIN3BULLETPOINTS"/>
              <w:rPr>
                <w:rFonts w:cs="Calibri"/>
              </w:rPr>
            </w:pPr>
            <w:r w:rsidRPr="00AA1BDA">
              <w:t>Type</w:t>
            </w:r>
            <w:r w:rsidR="003D413C">
              <w:t>s</w:t>
            </w:r>
            <w:r w:rsidRPr="00AA1BDA">
              <w:t xml:space="preserve"> A, B and D comprise approximately 90% of </w:t>
            </w:r>
            <w:r w:rsidRPr="00AA1BDA">
              <w:rPr>
                <w:i/>
              </w:rPr>
              <w:t xml:space="preserve">NPM1 </w:t>
            </w:r>
            <w:r w:rsidRPr="00AA1BDA">
              <w:t xml:space="preserve">mutations. </w:t>
            </w:r>
            <w:r>
              <w:t xml:space="preserve">Other </w:t>
            </w:r>
            <w:r w:rsidR="005532DD">
              <w:rPr>
                <w:i/>
                <w:iCs/>
              </w:rPr>
              <w:t xml:space="preserve">NPM1 </w:t>
            </w:r>
            <w:r>
              <w:t>variant types have also been recently described in exon</w:t>
            </w:r>
            <w:r w:rsidR="00212F27">
              <w:t>s</w:t>
            </w:r>
            <w:r>
              <w:t xml:space="preserve"> 5 (in-frame), 10 and 11, as well as </w:t>
            </w:r>
            <w:r>
              <w:rPr>
                <w:i/>
                <w:iCs/>
              </w:rPr>
              <w:t>NPM1</w:t>
            </w:r>
            <w:r>
              <w:t xml:space="preserve"> gene rearrangements</w: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1,2</w:t>
            </w:r>
            <w:r w:rsidR="005B0287"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FA318D7" w14:textId="1050437A" w:rsidR="00764717" w:rsidRDefault="00764717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AML with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mutation </w:t>
            </w:r>
            <w:r w:rsidRPr="00AA1BDA">
              <w:rPr>
                <w:rFonts w:cs="Calibri"/>
              </w:rPr>
              <w:t>is a distinct entity in</w:t>
            </w:r>
            <w:r>
              <w:rPr>
                <w:rFonts w:cs="Calibri"/>
              </w:rPr>
              <w:t xml:space="preserve"> both</w:t>
            </w:r>
            <w:r w:rsidRPr="00AA1BDA">
              <w:rPr>
                <w:rFonts w:cs="Calibri"/>
              </w:rPr>
              <w:t xml:space="preserve"> the WHO </w:t>
            </w:r>
            <w:r>
              <w:rPr>
                <w:rFonts w:cs="Calibri"/>
              </w:rPr>
              <w:t>5th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International Consensus Classification (ICC)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0FA318D8" w14:textId="783A0FA5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</w:rPr>
              <w:t xml:space="preserve">While the diagnosis of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can be made</w:t>
            </w:r>
            <w:r w:rsidR="00417FCD">
              <w:rPr>
                <w:rFonts w:cs="Calibri"/>
              </w:rPr>
              <w:t xml:space="preserve"> w</w:t>
            </w:r>
            <w:r w:rsidR="008D4358">
              <w:rPr>
                <w:rFonts w:cs="Calibri"/>
              </w:rPr>
              <w:t>ith any increase in peripheral blood and/or bone marrow blasts</w:t>
            </w:r>
            <w:r w:rsidRPr="190C99BD">
              <w:rPr>
                <w:rFonts w:cs="Calibri"/>
              </w:rPr>
              <w:t xml:space="preserve"> </w:t>
            </w:r>
            <w:r w:rsidR="00277784">
              <w:rPr>
                <w:rFonts w:cs="Calibri"/>
              </w:rPr>
              <w:t>in the appropriate context</w:t>
            </w:r>
            <w:r w:rsidR="0061226E">
              <w:rPr>
                <w:rFonts w:cs="Calibri"/>
              </w:rPr>
              <w:t xml:space="preserve"> </w:t>
            </w:r>
            <w:r w:rsidRPr="190C99BD">
              <w:rPr>
                <w:rFonts w:cs="Calibri"/>
              </w:rPr>
              <w:t>according to the WHO 5</w:t>
            </w:r>
            <w:r w:rsidRPr="00C95A9B">
              <w:rPr>
                <w:rFonts w:cs="Calibri"/>
                <w:vertAlign w:val="superscript"/>
              </w:rPr>
              <w:t>th</w:t>
            </w:r>
            <w:r w:rsidRPr="190C99BD">
              <w:rPr>
                <w:rFonts w:cs="Calibri"/>
              </w:rPr>
              <w:t xml:space="preserve">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 xml:space="preserve">, </w:t>
            </w:r>
            <w:r w:rsidRPr="00AA1BDA">
              <w:rPr>
                <w:rFonts w:cs="Calibri"/>
              </w:rPr>
              <w:t>≥</w:t>
            </w:r>
            <w:r w:rsidRPr="190C99BD">
              <w:rPr>
                <w:rFonts w:cs="Calibri"/>
              </w:rPr>
              <w:t>1</w:t>
            </w:r>
            <w:r w:rsidRPr="00AA1BDA">
              <w:rPr>
                <w:rFonts w:cs="Calibri"/>
              </w:rPr>
              <w:t xml:space="preserve">0% blasts </w:t>
            </w:r>
            <w:r w:rsidR="00897C66">
              <w:rPr>
                <w:rFonts w:cs="Calibri"/>
              </w:rPr>
              <w:t xml:space="preserve">are </w:t>
            </w:r>
            <w:r w:rsidRPr="190C99BD">
              <w:rPr>
                <w:rFonts w:cs="Calibri"/>
              </w:rPr>
              <w:t>required for the ICC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9" w14:textId="134F8344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  <w:i/>
                <w:iCs/>
              </w:rPr>
              <w:t>DNMT3A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FLT3</w:t>
            </w:r>
            <w:r w:rsidRPr="00AA1BDA">
              <w:rPr>
                <w:rFonts w:cs="Calibri"/>
              </w:rPr>
              <w:t>-ITD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TET2</w:t>
            </w:r>
            <w:r w:rsidRPr="00AA1BDA">
              <w:rPr>
                <w:rFonts w:cs="Calibri"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>IDH1</w:t>
            </w:r>
            <w:r w:rsidR="00D1265B">
              <w:rPr>
                <w:rFonts w:cs="Calibri"/>
                <w:i/>
                <w:iCs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 xml:space="preserve">IDH2 </w:t>
            </w:r>
            <w:r w:rsidRPr="00AA1BDA">
              <w:rPr>
                <w:rFonts w:cs="Calibri"/>
              </w:rPr>
              <w:t>(Arg140)</w:t>
            </w:r>
            <w:r w:rsidR="004A69FE">
              <w:rPr>
                <w:rFonts w:cs="Calibri"/>
              </w:rPr>
              <w:t xml:space="preserve">, </w:t>
            </w:r>
            <w:r w:rsidR="00D1265B" w:rsidRPr="00765E72">
              <w:rPr>
                <w:rFonts w:cs="Calibri"/>
                <w:i/>
                <w:iCs/>
              </w:rPr>
              <w:t>WT1</w:t>
            </w:r>
            <w:r w:rsidRPr="190C99BD">
              <w:rPr>
                <w:rFonts w:cs="Calibri"/>
                <w:i/>
                <w:iCs/>
              </w:rPr>
              <w:t xml:space="preserve"> </w:t>
            </w:r>
            <w:r w:rsidR="004A69FE">
              <w:rPr>
                <w:rFonts w:cs="Calibri"/>
              </w:rPr>
              <w:t xml:space="preserve">and </w:t>
            </w:r>
            <w:r w:rsidR="004C36BD">
              <w:rPr>
                <w:rFonts w:cs="Calibri"/>
                <w:i/>
                <w:iCs/>
              </w:rPr>
              <w:t>N/K</w:t>
            </w:r>
            <w:r w:rsidR="004A69FE" w:rsidRPr="00765E72">
              <w:rPr>
                <w:rFonts w:cs="Calibri"/>
                <w:i/>
                <w:iCs/>
              </w:rPr>
              <w:t>RAS</w:t>
            </w:r>
            <w:r w:rsidR="004A69FE">
              <w:rPr>
                <w:rFonts w:cs="Calibri"/>
              </w:rPr>
              <w:t xml:space="preserve"> gene </w:t>
            </w:r>
            <w:r w:rsidRPr="00AA1BDA">
              <w:rPr>
                <w:rFonts w:cs="Calibri"/>
              </w:rPr>
              <w:t xml:space="preserve">mutations are enriched in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5,6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DA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0FA318DB" w14:textId="77777777" w:rsidR="00764717" w:rsidRPr="00AA1BDA" w:rsidRDefault="00764717" w:rsidP="000F5B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is a heterogeneous group with significant gene-gene interactions. </w:t>
            </w:r>
          </w:p>
          <w:p w14:paraId="4FF184D2" w14:textId="20307A1D" w:rsidR="00822340" w:rsidRPr="00765E72" w:rsidRDefault="00764717" w:rsidP="190C99BD">
            <w:pPr>
              <w:pStyle w:val="CLIN3BULLETPOINTS"/>
              <w:rPr>
                <w:i/>
                <w:iCs/>
              </w:rPr>
            </w:pPr>
            <w:r w:rsidRPr="00AA1BDA">
              <w:t xml:space="preserve">Evaluation of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and </w:t>
            </w:r>
            <w:r w:rsidRPr="190C99BD">
              <w:rPr>
                <w:i/>
                <w:iCs/>
              </w:rPr>
              <w:t>FLT3</w:t>
            </w:r>
            <w:r w:rsidRPr="00AA1BDA">
              <w:t>-ITD status represents a major pillar of the European LeukemiaNet (ELN) genetic-based risk stratification model</w:t>
            </w:r>
            <w:r>
              <w:t xml:space="preserve"> for </w:t>
            </w:r>
            <w:r w:rsidR="00D170E7">
              <w:t>intensively treated</w:t>
            </w:r>
            <w:r w:rsidR="00E91AFB">
              <w:t xml:space="preserve"> AML</w: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</w:t>
            </w:r>
            <w:r w:rsidR="005B0287">
              <w:fldChar w:fldCharType="end"/>
            </w:r>
            <w:r w:rsidR="00E91AFB">
              <w:t xml:space="preserve"> and for patients receiving less</w:t>
            </w:r>
            <w:r w:rsidR="00822340">
              <w:t>-intensive therapies (ELN 2024 Less-Intensive)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Pr="00AA1BDA">
              <w:t>.</w:t>
            </w:r>
          </w:p>
          <w:p w14:paraId="0FA318DC" w14:textId="24EC3FF2" w:rsidR="00764717" w:rsidRPr="00C95A9B" w:rsidRDefault="00764717" w:rsidP="190C99BD">
            <w:pPr>
              <w:pStyle w:val="CLIN3BULLETPOINTS"/>
              <w:rPr>
                <w:i/>
                <w:iCs/>
              </w:rPr>
            </w:pPr>
            <w:r w:rsidRPr="00AA1BDA">
              <w:t xml:space="preserve">A favourable prognosis is observed with mutated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without </w:t>
            </w:r>
            <w:r w:rsidRPr="190C99BD">
              <w:rPr>
                <w:i/>
                <w:iCs/>
              </w:rPr>
              <w:t>FLT3</w:t>
            </w:r>
            <w:r w:rsidRPr="00AA1BDA">
              <w:t>-ITD</w:t>
            </w:r>
            <w:r>
              <w:t>.</w:t>
            </w:r>
            <w:r w:rsidRPr="190C99BD">
              <w:rPr>
                <w:i/>
                <w:iCs/>
              </w:rPr>
              <w:t xml:space="preserve"> </w:t>
            </w:r>
            <w:r w:rsidRPr="00C95A9B">
              <w:rPr>
                <w:rFonts w:cs="Calibri"/>
              </w:rPr>
              <w:t xml:space="preserve">The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allelic ratio is no longer considered in the </w:t>
            </w:r>
            <w:r w:rsidRPr="190C99BD">
              <w:rPr>
                <w:rFonts w:cs="Calibri"/>
              </w:rPr>
              <w:t xml:space="preserve">ELN 2022 </w:t>
            </w:r>
            <w:r w:rsidRPr="00C95A9B">
              <w:rPr>
                <w:rFonts w:cs="Calibri"/>
              </w:rPr>
              <w:t xml:space="preserve">risk classification; consequently,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00C95A9B">
              <w:rPr>
                <w:rFonts w:cs="Calibri"/>
                <w:i/>
                <w:iCs/>
              </w:rPr>
              <w:t xml:space="preserve"> </w:t>
            </w:r>
            <w:r w:rsidRPr="190C99BD">
              <w:rPr>
                <w:rFonts w:cs="Calibri"/>
              </w:rPr>
              <w:t xml:space="preserve">and a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</w:t>
            </w:r>
            <w:r w:rsidRPr="190C99BD">
              <w:rPr>
                <w:rFonts w:cs="Calibri"/>
              </w:rPr>
              <w:t>is now categoris</w:t>
            </w:r>
            <w:r w:rsidRPr="00C95A9B">
              <w:rPr>
                <w:rFonts w:cs="Calibri"/>
              </w:rPr>
              <w:t>ed in the intermediate-risk group, irrespective of the allelic ratio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7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D" w14:textId="6BD7ABF8" w:rsidR="00764717" w:rsidRPr="00765E72" w:rsidRDefault="00A47430" w:rsidP="00294097">
            <w:pPr>
              <w:pStyle w:val="CLIN3BULLETPOINTS"/>
              <w:rPr>
                <w:i/>
              </w:rPr>
            </w:pPr>
            <w:r>
              <w:t>While c</w:t>
            </w:r>
            <w:r w:rsidR="007E5612">
              <w:t>omutation</w:t>
            </w:r>
            <w:r w:rsidR="00764717">
              <w:t xml:space="preserve"> of</w:t>
            </w:r>
            <w:r w:rsidR="00764717" w:rsidRPr="00AA1BDA">
              <w:t xml:space="preserve"> </w:t>
            </w:r>
            <w:r w:rsidR="00764717" w:rsidRPr="190C99BD">
              <w:rPr>
                <w:i/>
                <w:iCs/>
              </w:rPr>
              <w:t>NPM1</w:t>
            </w:r>
            <w:r w:rsidR="00DF491B">
              <w:rPr>
                <w:i/>
                <w:iCs/>
              </w:rPr>
              <w:t xml:space="preserve"> </w:t>
            </w:r>
            <w:r w:rsidR="00DF491B">
              <w:t>with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DNMT3A</w:t>
            </w:r>
            <w:r w:rsidR="00744283">
              <w:rPr>
                <w:i/>
                <w:iCs/>
              </w:rPr>
              <w:t xml:space="preserve"> </w:t>
            </w:r>
            <w:r w:rsidR="00744283">
              <w:t>and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FLT3</w:t>
            </w:r>
            <w:r w:rsidR="00764717" w:rsidRPr="190C99BD">
              <w:t>-ITD (triple mutant)</w:t>
            </w:r>
            <w:r w:rsidR="007E5612">
              <w:t xml:space="preserve"> </w:t>
            </w:r>
            <w:r w:rsidR="00744283">
              <w:t>has</w:t>
            </w:r>
            <w:r w:rsidR="00764717" w:rsidRPr="190C99BD">
              <w:t xml:space="preserve"> </w:t>
            </w:r>
            <w:r w:rsidR="00764717">
              <w:t xml:space="preserve">been associated with inferior outcomes in </w:t>
            </w:r>
            <w:r w:rsidR="00764717" w:rsidRPr="00542833">
              <w:t>some studies</w: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 </w:instrTex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EN.CITE.DATA </w:instrText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end"/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separate"/>
            </w:r>
            <w:r w:rsidR="005B0287" w:rsidRPr="00542833">
              <w:rPr>
                <w:bCs/>
                <w:vertAlign w:val="superscript"/>
              </w:rPr>
              <w:t>5,6,9</w:t>
            </w:r>
            <w:r w:rsidR="005B0287" w:rsidRPr="00542833">
              <w:rPr>
                <w:bCs/>
              </w:rPr>
              <w:fldChar w:fldCharType="end"/>
            </w:r>
            <w:r w:rsidR="00764717" w:rsidRPr="00542833">
              <w:t>, this profile</w:t>
            </w:r>
            <w:r w:rsidR="00764717">
              <w:t xml:space="preserve"> is considered intermediate risk according to ELN 2022 criteria</w: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7</w:t>
            </w:r>
            <w:r w:rsidR="005B0287">
              <w:rPr>
                <w:bCs/>
              </w:rPr>
              <w:fldChar w:fldCharType="end"/>
            </w:r>
            <w:r w:rsidR="00764717" w:rsidRPr="00AA1BDA">
              <w:rPr>
                <w:bCs/>
              </w:rPr>
              <w:t>.</w:t>
            </w:r>
          </w:p>
          <w:p w14:paraId="4F858826" w14:textId="3C4E6C6D" w:rsidR="00E4673A" w:rsidRPr="00AA1BDA" w:rsidRDefault="00E4673A" w:rsidP="00294097">
            <w:pPr>
              <w:pStyle w:val="CLIN3BULLETPOINTS"/>
              <w:rPr>
                <w:i/>
              </w:rPr>
            </w:pPr>
            <w:r>
              <w:rPr>
                <w:bCs/>
              </w:rPr>
              <w:t xml:space="preserve">Non-A/B/D </w:t>
            </w:r>
            <w:r>
              <w:rPr>
                <w:bCs/>
                <w:i/>
                <w:iCs/>
              </w:rPr>
              <w:t>NPM1</w:t>
            </w:r>
            <w:r>
              <w:rPr>
                <w:bCs/>
              </w:rPr>
              <w:t xml:space="preserve"> mutations </w:t>
            </w:r>
            <w:r w:rsidR="00273D77">
              <w:rPr>
                <w:bCs/>
              </w:rPr>
              <w:t>have been</w:t>
            </w:r>
            <w:r>
              <w:rPr>
                <w:bCs/>
              </w:rPr>
              <w:t xml:space="preserve"> associated with increased MRD</w:t>
            </w:r>
            <w:r w:rsidR="006C591A">
              <w:rPr>
                <w:bCs/>
              </w:rPr>
              <w:t xml:space="preserve"> positivity and relapse from MRD negativity</w:t>
            </w:r>
            <w:r w:rsidR="0046207B">
              <w:rPr>
                <w:bCs/>
              </w:rPr>
              <w:t xml:space="preserve"> in intensively treated patients</w: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6</w:t>
            </w:r>
            <w:r w:rsidR="005B0287">
              <w:rPr>
                <w:bCs/>
              </w:rPr>
              <w:fldChar w:fldCharType="end"/>
            </w:r>
            <w:r w:rsidR="006C591A">
              <w:rPr>
                <w:bCs/>
              </w:rPr>
              <w:t>.</w:t>
            </w:r>
          </w:p>
          <w:p w14:paraId="0FA318DE" w14:textId="4AFEC469" w:rsidR="00764717" w:rsidRPr="00C95A9B" w:rsidRDefault="00764717" w:rsidP="00630E15">
            <w:pPr>
              <w:pStyle w:val="CLIN3BULLETPOINTS"/>
              <w:rPr>
                <w:i/>
              </w:rPr>
            </w:pPr>
            <w:r w:rsidRPr="00630E15">
              <w:rPr>
                <w:rFonts w:cs="Calibri"/>
                <w:bCs/>
              </w:rPr>
              <w:t xml:space="preserve">The presence of adverse-risk cytogenetic abnormalities in </w:t>
            </w:r>
            <w:r w:rsidRPr="00C95A9B">
              <w:rPr>
                <w:rFonts w:cs="Calibri"/>
                <w:bCs/>
                <w:i/>
              </w:rPr>
              <w:t>NPM1</w:t>
            </w:r>
            <w:r w:rsidRPr="00630E15">
              <w:rPr>
                <w:rFonts w:cs="Calibri"/>
                <w:bCs/>
              </w:rPr>
              <w:t xml:space="preserve">-mutated AML now defines </w:t>
            </w:r>
            <w:r w:rsidR="00326C69">
              <w:rPr>
                <w:rFonts w:cs="Calibri"/>
                <w:bCs/>
              </w:rPr>
              <w:t xml:space="preserve">ELN 2022 </w:t>
            </w:r>
            <w:r w:rsidRPr="00630E15">
              <w:rPr>
                <w:rFonts w:cs="Calibri"/>
                <w:bCs/>
              </w:rPr>
              <w:t>adverse risk</w: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7,10</w:t>
            </w:r>
            <w:r w:rsidR="005B0287">
              <w:fldChar w:fldCharType="end"/>
            </w:r>
            <w:r w:rsidRPr="00AA1BDA">
              <w:t>.</w:t>
            </w:r>
          </w:p>
          <w:p w14:paraId="33354F98" w14:textId="355651A4" w:rsidR="00FD3034" w:rsidRPr="00FD3034" w:rsidRDefault="00764717" w:rsidP="00C07EFC">
            <w:pPr>
              <w:pStyle w:val="CLIN3BULLETPOINTS"/>
              <w:rPr>
                <w:i/>
                <w:iCs/>
              </w:rPr>
            </w:pPr>
            <w:r>
              <w:t xml:space="preserve">A subset of AML with </w:t>
            </w:r>
            <w:r w:rsidRPr="00081D4A">
              <w:rPr>
                <w:i/>
                <w:iCs/>
              </w:rPr>
              <w:t>NPM1</w:t>
            </w:r>
            <w:r>
              <w:t xml:space="preserve"> mutation cases have comutation with one or more of the myelodysplasia-related genes (</w:t>
            </w:r>
            <w:r w:rsidRPr="00C95A9B">
              <w:rPr>
                <w:i/>
                <w:iCs/>
              </w:rPr>
              <w:t>ASXL1</w:t>
            </w:r>
            <w:r>
              <w:t xml:space="preserve">, </w:t>
            </w:r>
            <w:r w:rsidRPr="00C95A9B">
              <w:rPr>
                <w:i/>
                <w:iCs/>
              </w:rPr>
              <w:t>BCOR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EZH2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RUNX1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SF3B1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SRSF2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STAG2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U2AF1</w:t>
            </w:r>
            <w:r>
              <w:t xml:space="preserve">, or </w:t>
            </w:r>
            <w:r w:rsidRPr="00C95A9B">
              <w:rPr>
                <w:i/>
                <w:iCs/>
              </w:rPr>
              <w:t>ZRSR2</w:t>
            </w:r>
            <w:r>
              <w:t>). For</w:t>
            </w:r>
            <w:r w:rsidRPr="190C99BD">
              <w:rPr>
                <w:rFonts w:cs="Calibri"/>
              </w:rPr>
              <w:t xml:space="preserve"> the time being, the ELN </w:t>
            </w:r>
            <w:r w:rsidR="00517ED4">
              <w:rPr>
                <w:rFonts w:cs="Calibri"/>
              </w:rPr>
              <w:t xml:space="preserve">2022 </w:t>
            </w:r>
            <w:r w:rsidRPr="190C99BD">
              <w:rPr>
                <w:rFonts w:cs="Calibri"/>
              </w:rPr>
              <w:t xml:space="preserve">recommends that these should not be used as an adverse prognostic marker if they co-occur with </w:t>
            </w:r>
            <w:r w:rsidRPr="190C99BD">
              <w:rPr>
                <w:rFonts w:cs="Calibri"/>
                <w:i/>
                <w:iCs/>
              </w:rPr>
              <w:t>NPM1</w: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 </w:instrTex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EN.CITE.DATA </w:instrText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separate"/>
            </w:r>
            <w:r w:rsidR="005B0287" w:rsidRPr="005B0287">
              <w:rPr>
                <w:rFonts w:cs="Calibri"/>
                <w:i/>
                <w:iCs/>
                <w:vertAlign w:val="superscript"/>
              </w:rPr>
              <w:t>7</w:t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Pr="190C99BD">
              <w:rPr>
                <w:rFonts w:cs="Calibri"/>
                <w:i/>
                <w:iCs/>
              </w:rPr>
              <w:t>.</w:t>
            </w:r>
          </w:p>
          <w:p w14:paraId="48631D02" w14:textId="26E1A457" w:rsidR="00E50B51" w:rsidRPr="00C07EFC" w:rsidRDefault="00E50B51" w:rsidP="00765E72">
            <w:pPr>
              <w:pStyle w:val="CLIN3BULLETPOINTS"/>
              <w:rPr>
                <w:i/>
                <w:iCs/>
              </w:rPr>
            </w:pPr>
            <w:r>
              <w:t xml:space="preserve">In addition to </w:t>
            </w:r>
            <w:r w:rsidRPr="00765E72">
              <w:rPr>
                <w:i/>
                <w:iCs/>
              </w:rPr>
              <w:t>FLT3</w:t>
            </w:r>
            <w:r>
              <w:t xml:space="preserve">-ITD, </w:t>
            </w:r>
            <w:r w:rsidR="61443918">
              <w:t>concomitant</w:t>
            </w:r>
            <w:r w:rsidR="004A1080">
              <w:t xml:space="preserve"> signalling gene mutations (</w:t>
            </w:r>
            <w:r w:rsidR="004A1080" w:rsidRPr="00765E72">
              <w:rPr>
                <w:i/>
                <w:iCs/>
              </w:rPr>
              <w:t>KRAS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 xml:space="preserve">, </w:t>
            </w:r>
            <w:r w:rsidR="004A1080" w:rsidRPr="00765E72">
              <w:rPr>
                <w:i/>
                <w:iCs/>
              </w:rPr>
              <w:t>NRAS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>)</w:t>
            </w:r>
            <w:r w:rsidR="006F0306">
              <w:t xml:space="preserve"> in AML with </w:t>
            </w:r>
            <w:r w:rsidR="006F0306" w:rsidRPr="00765E72">
              <w:rPr>
                <w:i/>
                <w:iCs/>
              </w:rPr>
              <w:t>NPM1</w:t>
            </w:r>
            <w:r w:rsidR="006F0306">
              <w:t xml:space="preserve"> mutation have </w:t>
            </w:r>
            <w:r w:rsidR="003F6BAE">
              <w:t xml:space="preserve">been associated with </w:t>
            </w:r>
            <w:r w:rsidR="00CE0973">
              <w:t>a negative prognostic impact in patients tre</w:t>
            </w:r>
            <w:r w:rsidR="69524B74">
              <w:t>a</w:t>
            </w:r>
            <w:r w:rsidR="00CE0973">
              <w:t>ted with less-intensive therapies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="00E80D6A">
              <w:t>.</w:t>
            </w:r>
          </w:p>
          <w:p w14:paraId="0FA318E0" w14:textId="4BA3CB54" w:rsidR="00764717" w:rsidRPr="00715ABD" w:rsidRDefault="00764717" w:rsidP="00715ABD">
            <w:pPr>
              <w:pStyle w:val="CLIN3BULLETPOINTS"/>
              <w:rPr>
                <w:rFonts w:cs="Calibri"/>
              </w:rPr>
            </w:pPr>
            <w:r w:rsidRPr="00AA1BDA">
              <w:rPr>
                <w:i/>
              </w:rPr>
              <w:t>NPM1</w:t>
            </w:r>
            <w:r w:rsidRPr="00AA1BDA">
              <w:t xml:space="preserve"> mutations are a suitable marker for measurable residual disease </w:t>
            </w:r>
            <w:r>
              <w:t xml:space="preserve">(MRD) </w:t>
            </w:r>
            <w:r w:rsidRPr="00AA1BDA">
              <w:t>monitoring</w: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11,12</w:t>
            </w:r>
            <w:r w:rsidR="005B0287">
              <w:fldChar w:fldCharType="end"/>
            </w:r>
            <w:r w:rsidRPr="00AA1BDA">
              <w:t xml:space="preserve">. </w:t>
            </w:r>
          </w:p>
          <w:p w14:paraId="0FA318E1" w14:textId="74FD34E5" w:rsidR="00764717" w:rsidRPr="00294097" w:rsidRDefault="00764717" w:rsidP="0029409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MRD</w:t>
            </w:r>
            <w:r w:rsidRPr="00AA1BDA">
              <w:rPr>
                <w:rFonts w:cs="Calibri"/>
              </w:rPr>
              <w:t xml:space="preserve"> assessment is an independent prognostic indicator post therapy for AML, and may be a more potent predictor of outcome compared to the baseline clinical and molecular profile</w: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11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</w:t>
            </w:r>
          </w:p>
          <w:p w14:paraId="0FA318E2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4BF942AF">
              <w:rPr>
                <w:rFonts w:cs="Calibri"/>
              </w:rPr>
              <w:t>biomarkers of response to therapy</w:t>
            </w:r>
          </w:p>
          <w:p w14:paraId="0FA318E3" w14:textId="77777777" w:rsidR="00764717" w:rsidRPr="00AA1BDA" w:rsidRDefault="00764717" w:rsidP="4BF942AF">
            <w:pPr>
              <w:pStyle w:val="CLIN3BULLETPOINTS"/>
              <w:rPr>
                <w:rFonts w:eastAsia="Calibri" w:cs="Calibri"/>
              </w:rPr>
            </w:pP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 xml:space="preserve"> mutations are the target of midostaurin</w:t>
            </w:r>
            <w:r w:rsidRPr="4BF942AF">
              <w:rPr>
                <w:rFonts w:eastAsia="Calibri" w:cs="Calibri"/>
                <w:vertAlign w:val="superscript"/>
              </w:rPr>
              <w:t>16</w:t>
            </w:r>
            <w:r w:rsidRPr="4BF942AF">
              <w:rPr>
                <w:rFonts w:eastAsia="Calibri" w:cs="Calibri"/>
              </w:rPr>
              <w:t xml:space="preserve">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only)</w:t>
            </w:r>
            <w:r w:rsidRPr="4BF942AF">
              <w:rPr>
                <w:rFonts w:eastAsia="Calibri" w:cs="Calibri"/>
                <w:vertAlign w:val="superscript"/>
              </w:rPr>
              <w:t>17</w:t>
            </w:r>
            <w:r w:rsidRPr="4BF942AF">
              <w:rPr>
                <w:rFonts w:eastAsia="Calibri" w:cs="Calibri"/>
              </w:rPr>
              <w:t xml:space="preserve"> in newly diagnosed AML, and gilteritinib</w:t>
            </w:r>
            <w:r w:rsidRPr="4BF942AF">
              <w:rPr>
                <w:rFonts w:eastAsia="Calibri" w:cs="Calibri"/>
                <w:vertAlign w:val="superscript"/>
              </w:rPr>
              <w:t>18</w:t>
            </w:r>
            <w:r w:rsidRPr="4BF942AF">
              <w:rPr>
                <w:rFonts w:eastAsia="Calibri" w:cs="Calibri"/>
              </w:rPr>
              <w:t xml:space="preserve"> in relapsed/refractory AML.</w:t>
            </w:r>
          </w:p>
          <w:p w14:paraId="0FA318E4" w14:textId="1A7CB6B8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</w:rPr>
              <w:t xml:space="preserve">Repeat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testing at relapse or disease progression is recommended as approximately 20% of patients have a change (gain or loss) in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mutation status</w: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13</w:t>
            </w:r>
            <w:r w:rsidR="005B0287">
              <w:rPr>
                <w:rFonts w:cs="Calibri"/>
              </w:rPr>
              <w:fldChar w:fldCharType="end"/>
            </w:r>
            <w:r w:rsidRPr="4BF942AF">
              <w:rPr>
                <w:rFonts w:cs="Calibri"/>
              </w:rPr>
              <w:t>.</w:t>
            </w:r>
          </w:p>
          <w:p w14:paraId="0FA318E5" w14:textId="63D58636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  <w:i/>
                <w:iCs/>
              </w:rPr>
              <w:t xml:space="preserve">IDH1 </w:t>
            </w:r>
            <w:r w:rsidRPr="00AA1BDA">
              <w:rPr>
                <w:rFonts w:cs="Calibri"/>
              </w:rPr>
              <w:t>and</w:t>
            </w:r>
            <w:r w:rsidRPr="4BF942AF">
              <w:rPr>
                <w:rFonts w:cs="Calibri"/>
                <w:i/>
                <w:iCs/>
              </w:rPr>
              <w:t xml:space="preserve"> IDH2</w:t>
            </w:r>
            <w:r w:rsidRPr="00AA1BDA">
              <w:rPr>
                <w:rFonts w:cs="Calibri"/>
              </w:rPr>
              <w:t xml:space="preserve"> mutations are the target of IDH1 and IDH2 inhibitors, respectively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14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E6" w14:textId="165450BF" w:rsidR="00764717" w:rsidRDefault="00764717" w:rsidP="4BF942A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4BF942AF">
              <w:rPr>
                <w:rFonts w:cs="Calibri"/>
                <w:i/>
                <w:iCs/>
              </w:rPr>
              <w:t xml:space="preserve"> </w:t>
            </w:r>
            <w:r>
              <w:t xml:space="preserve">has a transcriptional signature similar to </w:t>
            </w:r>
            <w:r w:rsidRPr="4BF942AF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4BF942AF">
              <w:rPr>
                <w:i/>
                <w:iCs/>
              </w:rPr>
              <w:t>HOX</w:t>
            </w:r>
            <w:r>
              <w:t xml:space="preserve"> gene dysregulation, and is potentially targetable by menin inhibitors</w: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15</w:t>
            </w:r>
            <w:r w:rsidR="005B0287">
              <w:fldChar w:fldCharType="end"/>
            </w:r>
            <w:r>
              <w:t xml:space="preserve">.  </w:t>
            </w:r>
          </w:p>
          <w:p w14:paraId="0FA318E7" w14:textId="730A2565" w:rsidR="00764717" w:rsidRDefault="00764717" w:rsidP="190C99BD">
            <w:pPr>
              <w:pStyle w:val="CLIN3BULLETPOINTS"/>
              <w:rPr>
                <w:rFonts w:eastAsia="Calibri"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16</w:t>
            </w:r>
            <w:r w:rsidR="005B0287">
              <w:fldChar w:fldCharType="end"/>
            </w:r>
            <w:r>
              <w:t xml:space="preserve">, second-site </w:t>
            </w:r>
            <w:r w:rsidRPr="007F16BC">
              <w:rPr>
                <w:i/>
                <w:iCs/>
              </w:rPr>
              <w:t>IDH1</w:t>
            </w:r>
            <w:r>
              <w:t>/</w:t>
            </w:r>
            <w:r w:rsidRPr="007F16BC">
              <w:rPr>
                <w:i/>
                <w:iCs/>
              </w:rPr>
              <w:t>IDH2</w:t>
            </w:r>
            <w:r>
              <w:t xml:space="preserve"> mutations (IDH1/IDH2 inhibitors)</w: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17</w:t>
            </w:r>
            <w:r w:rsidR="005B0287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18</w:t>
            </w:r>
            <w:r w:rsidR="005B0287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19</w:t>
            </w:r>
            <w:r w:rsidR="005B0287">
              <w:fldChar w:fldCharType="end"/>
            </w:r>
            <w:r w:rsidRPr="00C95A9B">
              <w:rPr>
                <w:rFonts w:eastAsia="Calibri" w:cs="Calibri"/>
              </w:rPr>
              <w:t>.</w:t>
            </w:r>
          </w:p>
          <w:p w14:paraId="0FA318E8" w14:textId="77777777" w:rsidR="00764717" w:rsidRPr="00AA1BDA" w:rsidRDefault="00764717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FA318E9" w14:textId="61E3E8D8" w:rsidR="00764717" w:rsidRPr="00AA1BDA" w:rsidRDefault="005B0287" w:rsidP="00042676">
            <w:pPr>
              <w:pStyle w:val="CLIN4"/>
            </w:pPr>
            <w:r>
              <w:rPr>
                <w:sz w:val="4"/>
                <w:szCs w:val="4"/>
              </w:rPr>
              <w:fldChar w:fldCharType="begin"/>
            </w:r>
            <w:r>
              <w:rPr>
                <w:sz w:val="4"/>
                <w:szCs w:val="4"/>
              </w:rPr>
              <w:instrText xml:space="preserve"> ADDIN EN.REFLIST </w:instrText>
            </w:r>
            <w:r>
              <w:rPr>
                <w:sz w:val="4"/>
                <w:szCs w:val="4"/>
              </w:rPr>
              <w:fldChar w:fldCharType="separate"/>
            </w:r>
            <w:r w:rsidRPr="005B0287">
              <w:rPr>
                <w:b/>
              </w:rPr>
              <w:t>1.</w:t>
            </w:r>
            <w:r w:rsidRPr="005B0287">
              <w:t xml:space="preserve"> Martelli MP, et al. Novel NPM1 exon 5 mutations and gene fusions leading to aberrant cytoplasmic nucleophosmin in AML. </w:t>
            </w:r>
            <w:r w:rsidRPr="005B0287">
              <w:rPr>
                <w:i/>
              </w:rPr>
              <w:t>Blood</w:t>
            </w:r>
            <w:r w:rsidRPr="005B0287">
              <w:t xml:space="preserve"> 2021; </w:t>
            </w:r>
            <w:r w:rsidRPr="005B0287">
              <w:rPr>
                <w:b/>
              </w:rPr>
              <w:t>138</w:t>
            </w:r>
            <w:r w:rsidRPr="005B0287">
              <w:t xml:space="preserve">(25): 2696-701.  </w:t>
            </w:r>
            <w:r w:rsidRPr="005B0287">
              <w:rPr>
                <w:b/>
              </w:rPr>
              <w:t>2.</w:t>
            </w:r>
            <w:r w:rsidRPr="005B0287">
              <w:t xml:space="preserve"> Fournier E, et al. Molecular heterogeneity and measurable residual disease of rare NPM1 mutations in acute myeloid leukemia: a nationwide experience from the GBMHM study group. </w:t>
            </w:r>
            <w:r w:rsidRPr="005B0287">
              <w:rPr>
                <w:i/>
              </w:rPr>
              <w:t>Leukemia</w:t>
            </w:r>
            <w:r w:rsidRPr="005B0287">
              <w:t xml:space="preserve"> 2022; </w:t>
            </w:r>
            <w:r w:rsidRPr="005B0287">
              <w:rPr>
                <w:b/>
              </w:rPr>
              <w:t>36</w:t>
            </w:r>
            <w:r w:rsidRPr="005B0287">
              <w:t xml:space="preserve">(5): 1390-400.  </w:t>
            </w:r>
            <w:r w:rsidRPr="005B0287">
              <w:rPr>
                <w:b/>
              </w:rPr>
              <w:t>3.</w:t>
            </w:r>
            <w:r w:rsidRPr="005B0287"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Pr="005B0287">
              <w:rPr>
                <w:b/>
              </w:rPr>
              <w:t>4.</w:t>
            </w:r>
            <w:r w:rsidRPr="005B0287">
              <w:t xml:space="preserve"> Arber DA, et al. International Consensus Classification of Myeloid Neoplasms and Acute Leukemias: integrating morphologic, clinical, and genomic data. </w:t>
            </w:r>
            <w:r w:rsidRPr="005B0287">
              <w:rPr>
                <w:i/>
              </w:rPr>
              <w:t>Blood</w:t>
            </w:r>
            <w:r w:rsidRPr="005B0287">
              <w:t xml:space="preserve"> 2022; </w:t>
            </w:r>
            <w:r w:rsidRPr="005B0287">
              <w:rPr>
                <w:b/>
              </w:rPr>
              <w:t>140</w:t>
            </w:r>
            <w:r w:rsidRPr="005B0287">
              <w:t xml:space="preserve">(11): 1200-28.  </w:t>
            </w:r>
            <w:r w:rsidRPr="005B0287">
              <w:rPr>
                <w:b/>
              </w:rPr>
              <w:t>5.</w:t>
            </w:r>
            <w:r w:rsidRPr="005B0287">
              <w:t xml:space="preserve"> Papaemmanuil E, et al. Genomic Classification and Prognosis in Acute Myeloid Leukemia. </w:t>
            </w:r>
            <w:r w:rsidRPr="005B0287">
              <w:rPr>
                <w:i/>
              </w:rPr>
              <w:t>N Engl J Med</w:t>
            </w:r>
            <w:r w:rsidRPr="005B0287">
              <w:t xml:space="preserve"> 2016; </w:t>
            </w:r>
            <w:r w:rsidRPr="005B0287">
              <w:rPr>
                <w:b/>
              </w:rPr>
              <w:t>374</w:t>
            </w:r>
            <w:r w:rsidRPr="005B0287">
              <w:t xml:space="preserve">(23): 2209-21.  </w:t>
            </w:r>
            <w:r w:rsidRPr="005B0287">
              <w:rPr>
                <w:b/>
              </w:rPr>
              <w:t>6.</w:t>
            </w:r>
            <w:r w:rsidRPr="005B0287">
              <w:t xml:space="preserve"> Othman J, et al. Molecular, clinical, and therapeutic determinants of outcome in NPM1-mutated AML. </w:t>
            </w:r>
            <w:r w:rsidRPr="005B0287">
              <w:rPr>
                <w:i/>
              </w:rPr>
              <w:t>Blood</w:t>
            </w:r>
            <w:r w:rsidRPr="005B0287">
              <w:t xml:space="preserve"> 2024; </w:t>
            </w:r>
            <w:r w:rsidRPr="005B0287">
              <w:rPr>
                <w:b/>
              </w:rPr>
              <w:t>144</w:t>
            </w:r>
            <w:r w:rsidRPr="005B0287">
              <w:t xml:space="preserve">(7): 714-28.  </w:t>
            </w:r>
            <w:r w:rsidRPr="005B0287">
              <w:rPr>
                <w:b/>
              </w:rPr>
              <w:t>7.</w:t>
            </w:r>
            <w:r w:rsidRPr="005B0287">
              <w:t xml:space="preserve"> Dohner H, et al. Diagnosis and management of AML in adults: 2022 recommendations from an international expert panel on behalf of the ELN. </w:t>
            </w:r>
            <w:r w:rsidRPr="005B0287">
              <w:rPr>
                <w:i/>
              </w:rPr>
              <w:t>Blood</w:t>
            </w:r>
            <w:r w:rsidRPr="005B0287">
              <w:t xml:space="preserve"> 2022; </w:t>
            </w:r>
            <w:r w:rsidRPr="005B0287">
              <w:rPr>
                <w:b/>
              </w:rPr>
              <w:t>140</w:t>
            </w:r>
            <w:r w:rsidRPr="005B0287">
              <w:t xml:space="preserve">(12): 1345-77.  </w:t>
            </w:r>
            <w:r w:rsidRPr="005B0287">
              <w:rPr>
                <w:b/>
              </w:rPr>
              <w:t>8.</w:t>
            </w:r>
            <w:r w:rsidRPr="005B0287">
              <w:t xml:space="preserve"> Dohner H, et al. Genetic risk classification for adults with AML receiving less-intensive therapies: the 2024 ELN recommendations. </w:t>
            </w:r>
            <w:r w:rsidRPr="005B0287">
              <w:rPr>
                <w:i/>
              </w:rPr>
              <w:t>Blood</w:t>
            </w:r>
            <w:r w:rsidRPr="005B0287">
              <w:t xml:space="preserve"> 2024; </w:t>
            </w:r>
            <w:r w:rsidRPr="005B0287">
              <w:rPr>
                <w:b/>
              </w:rPr>
              <w:t>144</w:t>
            </w:r>
            <w:r w:rsidRPr="005B0287">
              <w:t xml:space="preserve">(21): 2169-73.  </w:t>
            </w:r>
            <w:r w:rsidRPr="005B0287">
              <w:rPr>
                <w:b/>
              </w:rPr>
              <w:t>9.</w:t>
            </w:r>
            <w:r w:rsidRPr="005B0287">
              <w:t xml:space="preserve"> Bezerra MF, et al. Co-occurrence of DNMT3A, NPM1, FLT3 mutations identifies a subset of acute myeloid leukemia with adverse prognosis. </w:t>
            </w:r>
            <w:r w:rsidRPr="005B0287">
              <w:rPr>
                <w:i/>
              </w:rPr>
              <w:t>Blood</w:t>
            </w:r>
            <w:r w:rsidRPr="005B0287">
              <w:t xml:space="preserve"> 2020; </w:t>
            </w:r>
            <w:r w:rsidRPr="005B0287">
              <w:rPr>
                <w:b/>
              </w:rPr>
              <w:t>135</w:t>
            </w:r>
            <w:r w:rsidRPr="005B0287">
              <w:t xml:space="preserve">(11): 870-5.  </w:t>
            </w:r>
            <w:r w:rsidRPr="005B0287">
              <w:rPr>
                <w:b/>
              </w:rPr>
              <w:t>10.</w:t>
            </w:r>
            <w:r w:rsidRPr="005B0287">
              <w:t xml:space="preserve"> Angenendt L, et al. Chromosomal Abnormalities and Prognosis in NPM1-Mutated Acute Myeloid Leukemia: A Pooled Analysis of Individual Patient Data From Nine International Cohorts. </w:t>
            </w:r>
            <w:r w:rsidRPr="005B0287">
              <w:rPr>
                <w:i/>
              </w:rPr>
              <w:t>J Clin Oncol</w:t>
            </w:r>
            <w:r w:rsidRPr="005B0287">
              <w:t xml:space="preserve"> 2019; </w:t>
            </w:r>
            <w:r w:rsidRPr="005B0287">
              <w:rPr>
                <w:b/>
              </w:rPr>
              <w:t>37</w:t>
            </w:r>
            <w:r w:rsidRPr="005B0287">
              <w:t xml:space="preserve">(29): 2632-42.  </w:t>
            </w:r>
            <w:r w:rsidRPr="005B0287">
              <w:rPr>
                <w:b/>
              </w:rPr>
              <w:t>11.</w:t>
            </w:r>
            <w:r w:rsidRPr="005B0287">
              <w:t xml:space="preserve"> Ivey A, et al. Assessment of Minimal Residual Disease in Standard-Risk AML. </w:t>
            </w:r>
            <w:r w:rsidRPr="005B0287">
              <w:rPr>
                <w:i/>
              </w:rPr>
              <w:t>N Engl J Med</w:t>
            </w:r>
            <w:r w:rsidRPr="005B0287">
              <w:t xml:space="preserve"> 2016; </w:t>
            </w:r>
            <w:r w:rsidRPr="005B0287">
              <w:rPr>
                <w:b/>
              </w:rPr>
              <w:t>374</w:t>
            </w:r>
            <w:r w:rsidRPr="005B0287">
              <w:t xml:space="preserve">(5): 422-33.  </w:t>
            </w:r>
            <w:r w:rsidRPr="005B0287">
              <w:rPr>
                <w:b/>
              </w:rPr>
              <w:t>12.</w:t>
            </w:r>
            <w:r w:rsidRPr="005B0287">
              <w:t xml:space="preserve"> Balsat M, et al. Postinduction Minimal Residual Disease Predicts Outcome and Benefit From Allogeneic Stem Cell Transplantation in Acute Myeloid Leukemia With NPM1 Mutation: A Study by the Acute Leukemia French Association Group. </w:t>
            </w:r>
            <w:r w:rsidRPr="005B0287">
              <w:rPr>
                <w:i/>
              </w:rPr>
              <w:t>J Clin Oncol</w:t>
            </w:r>
            <w:r w:rsidRPr="005B0287">
              <w:t xml:space="preserve"> 2017; </w:t>
            </w:r>
            <w:r w:rsidRPr="005B0287">
              <w:rPr>
                <w:b/>
              </w:rPr>
              <w:t>35</w:t>
            </w:r>
            <w:r w:rsidRPr="005B0287">
              <w:t xml:space="preserve">(2): 185-93.  </w:t>
            </w:r>
            <w:r w:rsidRPr="005B0287">
              <w:rPr>
                <w:b/>
              </w:rPr>
              <w:t>13.</w:t>
            </w:r>
            <w:r w:rsidRPr="005B0287">
              <w:t xml:space="preserve"> Daver N, et al. Targeting FLT3 mutations in AML: review of current knowledge and evidence. </w:t>
            </w:r>
            <w:r w:rsidRPr="005B0287">
              <w:rPr>
                <w:i/>
              </w:rPr>
              <w:t>Leukemia</w:t>
            </w:r>
            <w:r w:rsidRPr="005B0287">
              <w:t xml:space="preserve"> 2019; </w:t>
            </w:r>
            <w:r w:rsidRPr="005B0287">
              <w:rPr>
                <w:b/>
              </w:rPr>
              <w:t>33</w:t>
            </w:r>
            <w:r w:rsidRPr="005B0287">
              <w:t xml:space="preserve">(2): 299-312.  </w:t>
            </w:r>
            <w:r w:rsidRPr="005B0287">
              <w:rPr>
                <w:b/>
              </w:rPr>
              <w:t>14.</w:t>
            </w:r>
            <w:r w:rsidRPr="005B0287">
              <w:t xml:space="preserve"> Dohner H, et al. Diagnosis and management of AML in adults: 2017 ELN recommendations from an international expert panel. </w:t>
            </w:r>
            <w:r w:rsidRPr="005B0287">
              <w:rPr>
                <w:i/>
              </w:rPr>
              <w:t>Blood</w:t>
            </w:r>
            <w:r w:rsidRPr="005B0287">
              <w:t xml:space="preserve"> 2017; </w:t>
            </w:r>
            <w:r w:rsidRPr="005B0287">
              <w:rPr>
                <w:b/>
              </w:rPr>
              <w:t>129</w:t>
            </w:r>
            <w:r w:rsidRPr="005B0287">
              <w:t xml:space="preserve">(4): 424-47.  </w:t>
            </w:r>
            <w:r w:rsidRPr="005B0287">
              <w:rPr>
                <w:b/>
              </w:rPr>
              <w:t>15.</w:t>
            </w:r>
            <w:r w:rsidRPr="005B0287">
              <w:t xml:space="preserve"> Issa GC, et al. The menin inhibitor revumenib in KMT2A-rearranged or NPM1-mutant leukaemia. </w:t>
            </w:r>
            <w:r w:rsidRPr="005B0287">
              <w:rPr>
                <w:i/>
              </w:rPr>
              <w:t>Nature</w:t>
            </w:r>
            <w:r w:rsidRPr="005B0287">
              <w:t xml:space="preserve"> 2023; </w:t>
            </w:r>
            <w:r w:rsidRPr="005B0287">
              <w:rPr>
                <w:b/>
              </w:rPr>
              <w:t>615</w:t>
            </w:r>
            <w:r w:rsidRPr="005B0287">
              <w:t xml:space="preserve">(7954): 920-4.  </w:t>
            </w:r>
            <w:r w:rsidRPr="005B0287">
              <w:rPr>
                <w:b/>
              </w:rPr>
              <w:t>16.</w:t>
            </w:r>
            <w:r w:rsidRPr="005B0287">
              <w:t xml:space="preserve"> Smith CC, et al. Molecular profile of FLT3-mutated relapsed/refractory patients with AML in the phase 3 ADMIRAL study of gilteritinib. </w:t>
            </w:r>
            <w:r w:rsidRPr="005B0287">
              <w:rPr>
                <w:i/>
              </w:rPr>
              <w:t>Blood Adv</w:t>
            </w:r>
            <w:r w:rsidRPr="005B0287">
              <w:t xml:space="preserve"> 2022; </w:t>
            </w:r>
            <w:r w:rsidRPr="005B0287">
              <w:rPr>
                <w:b/>
              </w:rPr>
              <w:t>6</w:t>
            </w:r>
            <w:r w:rsidRPr="005B0287">
              <w:t xml:space="preserve">(7): 2144-55.  </w:t>
            </w:r>
            <w:r w:rsidRPr="005B0287">
              <w:rPr>
                <w:b/>
              </w:rPr>
              <w:t>17.</w:t>
            </w:r>
            <w:r w:rsidRPr="005B0287">
              <w:t xml:space="preserve"> Intlekofer AM, et al. Acquired resistance to IDH inhibition through trans or cis dimer-interface mutations. </w:t>
            </w:r>
            <w:r w:rsidRPr="005B0287">
              <w:rPr>
                <w:i/>
              </w:rPr>
              <w:t>Nature</w:t>
            </w:r>
            <w:r w:rsidRPr="005B0287">
              <w:t xml:space="preserve"> 2018; </w:t>
            </w:r>
            <w:r w:rsidRPr="005B0287">
              <w:rPr>
                <w:b/>
              </w:rPr>
              <w:t>559</w:t>
            </w:r>
            <w:r w:rsidRPr="005B0287">
              <w:t xml:space="preserve">(7712): 125-9.  </w:t>
            </w:r>
            <w:r w:rsidRPr="005B0287">
              <w:rPr>
                <w:b/>
              </w:rPr>
              <w:t>18.</w:t>
            </w:r>
            <w:r w:rsidRPr="005B0287">
              <w:t xml:space="preserve"> Moujalled DM, et al. Acquired mutations in BAX confer resistance to BH3-mimetic therapy in acute myeloid leukemia. </w:t>
            </w:r>
            <w:r w:rsidRPr="005B0287">
              <w:rPr>
                <w:i/>
              </w:rPr>
              <w:t>Blood</w:t>
            </w:r>
            <w:r w:rsidRPr="005B0287">
              <w:t xml:space="preserve"> 2023; </w:t>
            </w:r>
            <w:r w:rsidRPr="005B0287">
              <w:rPr>
                <w:b/>
              </w:rPr>
              <w:t>141</w:t>
            </w:r>
            <w:r w:rsidRPr="005B0287">
              <w:t xml:space="preserve">(6): 634-44.  </w:t>
            </w:r>
            <w:r w:rsidRPr="005B0287">
              <w:rPr>
                <w:b/>
              </w:rPr>
              <w:t>19.</w:t>
            </w:r>
            <w:r w:rsidRPr="005B0287">
              <w:t xml:space="preserve"> Perner F, et al. MEN1 mutations mediate clinical resistance to menin inhibition. </w:t>
            </w:r>
            <w:r w:rsidRPr="005B0287">
              <w:rPr>
                <w:i/>
              </w:rPr>
              <w:t>Nature</w:t>
            </w:r>
            <w:r w:rsidRPr="005B0287">
              <w:t xml:space="preserve"> 2023; </w:t>
            </w:r>
            <w:r w:rsidRPr="005B0287">
              <w:rPr>
                <w:b/>
              </w:rPr>
              <w:t>615</w:t>
            </w:r>
            <w:r w:rsidRPr="005B0287">
              <w:t xml:space="preserve">(7954): 913-9.  </w:t>
            </w:r>
            <w:r>
              <w:rPr>
                <w:sz w:val="4"/>
                <w:szCs w:val="4"/>
              </w:rPr>
              <w:fldChar w:fldCharType="end"/>
            </w:r>
          </w:p>
        </w:tc>
      </w:tr>
    </w:tbl>
    <w:p w14:paraId="3104A599" w14:textId="336BDFB2" w:rsidR="001263DE" w:rsidRDefault="001263DE" w:rsidP="00542833">
      <w:pPr>
        <w:rPr>
          <w:rFonts w:ascii="Calibri" w:hAnsi="Calibri" w:cs="Calibri"/>
          <w:noProof/>
          <w:sz w:val="4"/>
          <w:szCs w:val="4"/>
        </w:rPr>
      </w:pPr>
    </w:p>
    <w:sectPr w:rsidR="001263DE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A799" w14:textId="77777777" w:rsidR="004F00E6" w:rsidRDefault="004F00E6" w:rsidP="00FE2100">
      <w:pPr>
        <w:spacing w:after="0" w:line="240" w:lineRule="auto"/>
      </w:pPr>
      <w:r>
        <w:separator/>
      </w:r>
    </w:p>
  </w:endnote>
  <w:endnote w:type="continuationSeparator" w:id="0">
    <w:p w14:paraId="201F9351" w14:textId="77777777" w:rsidR="004F00E6" w:rsidRDefault="004F00E6" w:rsidP="00FE2100">
      <w:pPr>
        <w:spacing w:after="0" w:line="240" w:lineRule="auto"/>
      </w:pPr>
      <w:r>
        <w:continuationSeparator/>
      </w:r>
    </w:p>
  </w:endnote>
  <w:endnote w:type="continuationNotice" w:id="1">
    <w:p w14:paraId="581F7A87" w14:textId="77777777" w:rsidR="004F00E6" w:rsidRDefault="004F0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657E" w14:textId="77777777" w:rsidR="004F00E6" w:rsidRDefault="004F00E6" w:rsidP="00FE2100">
      <w:pPr>
        <w:spacing w:after="0" w:line="240" w:lineRule="auto"/>
      </w:pPr>
      <w:r>
        <w:separator/>
      </w:r>
    </w:p>
  </w:footnote>
  <w:footnote w:type="continuationSeparator" w:id="0">
    <w:p w14:paraId="0E864F49" w14:textId="77777777" w:rsidR="004F00E6" w:rsidRDefault="004F00E6" w:rsidP="00FE2100">
      <w:pPr>
        <w:spacing w:after="0" w:line="240" w:lineRule="auto"/>
      </w:pPr>
      <w:r>
        <w:continuationSeparator/>
      </w:r>
    </w:p>
  </w:footnote>
  <w:footnote w:type="continuationNotice" w:id="1">
    <w:p w14:paraId="78770723" w14:textId="77777777" w:rsidR="004F00E6" w:rsidRDefault="004F00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54&lt;/item&gt;&lt;item&gt;2529&lt;/item&gt;&lt;item&gt;2582&lt;/item&gt;&lt;item&gt;3127&lt;/item&gt;&lt;item&gt;3135&lt;/item&gt;&lt;item&gt;3174&lt;/item&gt;&lt;item&gt;3524&lt;/item&gt;&lt;item&gt;3601&lt;/item&gt;&lt;item&gt;3613&lt;/item&gt;&lt;item&gt;3641&lt;/item&gt;&lt;item&gt;3642&lt;/item&gt;&lt;item&gt;3643&lt;/item&gt;&lt;item&gt;3649&lt;/item&gt;&lt;item&gt;3671&lt;/item&gt;&lt;item&gt;3672&lt;/item&gt;&lt;item&gt;3681&lt;/item&gt;&lt;item&gt;3838&lt;/item&gt;&lt;item&gt;3846&lt;/item&gt;&lt;/record-ids&gt;&lt;/item&gt;&lt;/Libraries&gt;"/>
  </w:docVars>
  <w:rsids>
    <w:rsidRoot w:val="00FA35B3"/>
    <w:rsid w:val="00042676"/>
    <w:rsid w:val="00055AA9"/>
    <w:rsid w:val="00087652"/>
    <w:rsid w:val="000E7BB5"/>
    <w:rsid w:val="001263DE"/>
    <w:rsid w:val="001730CC"/>
    <w:rsid w:val="00212F27"/>
    <w:rsid w:val="002555A3"/>
    <w:rsid w:val="00273D77"/>
    <w:rsid w:val="00277784"/>
    <w:rsid w:val="00326C69"/>
    <w:rsid w:val="00384A51"/>
    <w:rsid w:val="003D413C"/>
    <w:rsid w:val="003F6BAE"/>
    <w:rsid w:val="00417FCD"/>
    <w:rsid w:val="0046207B"/>
    <w:rsid w:val="00481297"/>
    <w:rsid w:val="004A0CA7"/>
    <w:rsid w:val="004A1080"/>
    <w:rsid w:val="004A69FE"/>
    <w:rsid w:val="004C36BD"/>
    <w:rsid w:val="004D5B8C"/>
    <w:rsid w:val="004F00E6"/>
    <w:rsid w:val="00505D8B"/>
    <w:rsid w:val="00517ED4"/>
    <w:rsid w:val="00521619"/>
    <w:rsid w:val="00542833"/>
    <w:rsid w:val="005532DD"/>
    <w:rsid w:val="00585710"/>
    <w:rsid w:val="005B0287"/>
    <w:rsid w:val="005D48ED"/>
    <w:rsid w:val="0061226E"/>
    <w:rsid w:val="006C591A"/>
    <w:rsid w:val="006F0306"/>
    <w:rsid w:val="00744283"/>
    <w:rsid w:val="007449DF"/>
    <w:rsid w:val="00764717"/>
    <w:rsid w:val="00765E72"/>
    <w:rsid w:val="007825C6"/>
    <w:rsid w:val="007C1EC5"/>
    <w:rsid w:val="007E5612"/>
    <w:rsid w:val="007F16BC"/>
    <w:rsid w:val="007F42DA"/>
    <w:rsid w:val="00822340"/>
    <w:rsid w:val="008854AF"/>
    <w:rsid w:val="008969FD"/>
    <w:rsid w:val="00897C66"/>
    <w:rsid w:val="008B3D76"/>
    <w:rsid w:val="008D4358"/>
    <w:rsid w:val="009A00F7"/>
    <w:rsid w:val="009C603C"/>
    <w:rsid w:val="00A26125"/>
    <w:rsid w:val="00A47430"/>
    <w:rsid w:val="00B70346"/>
    <w:rsid w:val="00C07EFC"/>
    <w:rsid w:val="00CE0973"/>
    <w:rsid w:val="00D111CE"/>
    <w:rsid w:val="00D1265B"/>
    <w:rsid w:val="00D170E7"/>
    <w:rsid w:val="00D200A4"/>
    <w:rsid w:val="00DF491B"/>
    <w:rsid w:val="00E4673A"/>
    <w:rsid w:val="00E50B51"/>
    <w:rsid w:val="00E80D6A"/>
    <w:rsid w:val="00E91AFB"/>
    <w:rsid w:val="00E95A6D"/>
    <w:rsid w:val="00EA3C68"/>
    <w:rsid w:val="00F64DD5"/>
    <w:rsid w:val="00FA35B3"/>
    <w:rsid w:val="00FD3034"/>
    <w:rsid w:val="00FE2100"/>
    <w:rsid w:val="4110D2AB"/>
    <w:rsid w:val="61443918"/>
    <w:rsid w:val="695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18D3"/>
  <w15:docId w15:val="{889F515F-3545-43B9-B25C-1811748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D170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C82B0-9E9A-4ADA-B627-475D4CE7A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22417-53C1-4001-AEB6-2D8553834299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02CCA1B3-399B-4FD2-8680-DD260FAEA4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525647-0E29-4752-A46E-85EE8A0C6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1401</Words>
  <Characters>7989</Characters>
  <Application>Microsoft Office Word</Application>
  <DocSecurity>0</DocSecurity>
  <Lines>66</Lines>
  <Paragraphs>18</Paragraphs>
  <ScaleCrop>false</ScaleCrop>
  <Company>Peter MacCallum Cancer Centre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10</cp:revision>
  <dcterms:created xsi:type="dcterms:W3CDTF">2025-04-09T11:51:00Z</dcterms:created>
  <dcterms:modified xsi:type="dcterms:W3CDTF">2025-06-25T23:05:00Z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