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48D" w14:textId="77777777" w:rsidR="00F166A0" w:rsidRPr="006D284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6A90702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6F535C" w14:textId="77777777" w:rsidR="00417180" w:rsidRPr="00AF1CC9" w:rsidRDefault="00417180" w:rsidP="00417180">
            <w:pPr>
              <w:pStyle w:val="CLIN1HEADING"/>
            </w:pPr>
            <w:r w:rsidRPr="00AF1CC9">
              <w:t xml:space="preserve">Clinical Utility of Molecular Testing in </w:t>
            </w:r>
            <w:r>
              <w:br/>
            </w:r>
            <w:r w:rsidRPr="00AF1CC9">
              <w:t>Follicular Lymphoma</w:t>
            </w:r>
          </w:p>
          <w:p w14:paraId="62DDE04A" w14:textId="77777777" w:rsidR="00417180" w:rsidRPr="00AF1CC9" w:rsidRDefault="00417180" w:rsidP="00417180">
            <w:pPr>
              <w:pStyle w:val="CLIN2SUBHEADINGS"/>
            </w:pPr>
            <w:r w:rsidRPr="00AF1CC9">
              <w:t>Diagnostic Utility</w:t>
            </w:r>
          </w:p>
          <w:p w14:paraId="74F25810" w14:textId="244D2378" w:rsidR="00417180" w:rsidRPr="00AF1CC9" w:rsidRDefault="00417180" w:rsidP="00AE75F1">
            <w:pPr>
              <w:pStyle w:val="CLIN3BULLETPOINTS"/>
            </w:pPr>
            <w:r w:rsidRPr="00AF1CC9">
              <w:t xml:space="preserve">The </w:t>
            </w:r>
            <w:r w:rsidR="000157BC">
              <w:t>canonical mole</w:t>
            </w:r>
            <w:r w:rsidR="00F84654">
              <w:t>c</w:t>
            </w:r>
            <w:r w:rsidR="000157BC">
              <w:t>ular</w:t>
            </w:r>
            <w:r w:rsidRPr="00AF1CC9">
              <w:t xml:space="preserve"> abnormality in classical follicular lymphoma (FL) is t(14;18)(q32;q21) </w:t>
            </w:r>
            <w:r w:rsidR="000157BC">
              <w:t>resulting</w:t>
            </w:r>
            <w:r w:rsidRPr="00AF1CC9">
              <w:t xml:space="preserve"> in the</w:t>
            </w:r>
            <w:r w:rsidR="00D97F43">
              <w:rPr>
                <w:i/>
              </w:rPr>
              <w:t xml:space="preserve"> IGH::</w:t>
            </w:r>
            <w:r w:rsidRPr="00AF1CC9">
              <w:rPr>
                <w:i/>
              </w:rPr>
              <w:t>BCL2</w:t>
            </w:r>
            <w:r w:rsidRPr="00AF1CC9">
              <w:t xml:space="preserve"> fusion gene and overexpression of </w:t>
            </w:r>
            <w:r w:rsidRPr="00AF1CC9">
              <w:rPr>
                <w:i/>
              </w:rPr>
              <w:t>BCL2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</w:p>
          <w:p w14:paraId="65AB0B15" w14:textId="71F2B881" w:rsidR="00417180" w:rsidRPr="00AF1CC9" w:rsidRDefault="00417180" w:rsidP="00AE75F1">
            <w:pPr>
              <w:pStyle w:val="CLIN3BULLETPOINTS"/>
            </w:pPr>
            <w:r w:rsidRPr="00AF1CC9">
              <w:t>Four variants of FL are recognised in the WHO revised 4</w:t>
            </w:r>
            <w:r w:rsidRPr="00AF1CC9">
              <w:rPr>
                <w:vertAlign w:val="superscript"/>
              </w:rPr>
              <w:t>th</w:t>
            </w:r>
            <w:r w:rsidRPr="00AF1CC9">
              <w:t xml:space="preserve"> edition classification: </w:t>
            </w:r>
            <w:r w:rsidRPr="00122770">
              <w:rPr>
                <w:i/>
              </w:rPr>
              <w:t>in situ</w:t>
            </w:r>
            <w:r w:rsidRPr="00AF1CC9">
              <w:t xml:space="preserve"> follicular neoplasia (ISFN), duodenal-type FL, testicular FL and the diffuse variant of FL. In addition, paediatric-type FL is a separate entity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Pr="00AF1CC9">
              <w:t xml:space="preserve">ISFN and duodenal-type FL are characterised by </w:t>
            </w:r>
            <w:r w:rsidR="00D97F43">
              <w:t>t(14;18)(q32;q21)</w:t>
            </w:r>
            <w:r w:rsidRPr="00AF1CC9">
              <w:t xml:space="preserve"> and share genetic features with classic FL</w: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2,3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="00D97F43">
              <w:rPr>
                <w:i/>
              </w:rPr>
              <w:t>BCL2</w:t>
            </w:r>
            <w:r w:rsidRPr="000157BC">
              <w:rPr>
                <w:i/>
              </w:rPr>
              <w:t xml:space="preserve"> </w:t>
            </w:r>
            <w:r w:rsidRPr="00AF1CC9">
              <w:t>translocations are not typically observed in the diffuse variant of FL or testicular FL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6DD516E4" w14:textId="3EE44510" w:rsidR="00417180" w:rsidRPr="00EE7435" w:rsidRDefault="00417180" w:rsidP="00AE75F1">
            <w:pPr>
              <w:pStyle w:val="CLIN3BULLETPOINTS"/>
            </w:pPr>
            <w:r w:rsidRPr="00AF1CC9">
              <w:t xml:space="preserve">Del(1p) (which contains </w:t>
            </w:r>
            <w:r w:rsidRPr="00AF1CC9">
              <w:rPr>
                <w:i/>
              </w:rPr>
              <w:t>TNFRSF14)</w:t>
            </w:r>
            <w:r w:rsidRPr="00AF1CC9">
              <w:t xml:space="preserve">, acquired copy </w:t>
            </w:r>
            <w:r w:rsidRPr="00EE7435">
              <w:t xml:space="preserve">neutral loss of heterozygosity and mutations in </w:t>
            </w:r>
            <w:r w:rsidRPr="00EE7435">
              <w:rPr>
                <w:i/>
              </w:rPr>
              <w:t>TNFRSF14</w:t>
            </w:r>
            <w:r w:rsidRPr="00EE7435">
              <w:t xml:space="preserve"> are commonly seen across all variants of FL including paediatric-type FL</w:t>
            </w:r>
            <w:r w:rsidR="00327CF9" w:rsidRPr="00EE7435">
              <w:fldChar w:fldCharType="begin"/>
            </w:r>
            <w:r w:rsidR="00327CF9" w:rsidRPr="00EE7435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1</w:t>
            </w:r>
            <w:r w:rsidR="00327CF9" w:rsidRPr="00EE7435">
              <w:fldChar w:fldCharType="end"/>
            </w:r>
            <w:r w:rsidRPr="00EE7435">
              <w:t xml:space="preserve">. </w:t>
            </w:r>
            <w:r w:rsidR="00D97F43" w:rsidRPr="00EE7435">
              <w:t>These findings are not detected by this assay.</w:t>
            </w:r>
          </w:p>
          <w:p w14:paraId="600FE831" w14:textId="64AF7F91" w:rsidR="00D97F43" w:rsidRPr="00EE7435" w:rsidRDefault="00D97F43" w:rsidP="00AE75F1">
            <w:pPr>
              <w:pStyle w:val="CLIN3BULLETPOINTS"/>
            </w:pPr>
            <w:r w:rsidRPr="00EE7435">
              <w:rPr>
                <w:i/>
              </w:rPr>
              <w:t xml:space="preserve">BCL2 </w:t>
            </w:r>
            <w:r w:rsidRPr="00EE7435">
              <w:t>aberrant somatic hypermutation is frequently observed in FL and germinal centre type diffuse large B cell lymphoma</w: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 </w:instrTex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EN.CITE.DATA </w:instrText>
            </w:r>
            <w:r w:rsidR="00327CF9" w:rsidRPr="00EE7435">
              <w:fldChar w:fldCharType="end"/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4,5</w:t>
            </w:r>
            <w:r w:rsidR="00327CF9" w:rsidRPr="00EE7435">
              <w:fldChar w:fldCharType="end"/>
            </w:r>
            <w:r w:rsidRPr="00EE7435">
              <w:t>.</w:t>
            </w:r>
          </w:p>
          <w:p w14:paraId="22DC291C" w14:textId="6BD729DB" w:rsidR="00417180" w:rsidRPr="00AF1CC9" w:rsidRDefault="00417180" w:rsidP="00AE75F1">
            <w:pPr>
              <w:pStyle w:val="CLIN3BULLETPOINTS"/>
            </w:pPr>
            <w:r w:rsidRPr="00EE7435">
              <w:t xml:space="preserve">Mutations in chromatin-modifying genes are recurrently observed in classic FL and typically occur as early events. These include </w:t>
            </w:r>
            <w:r w:rsidRPr="00EE7435">
              <w:rPr>
                <w:i/>
              </w:rPr>
              <w:t xml:space="preserve">KMT2D </w:t>
            </w:r>
            <w:r w:rsidRPr="00EE7435">
              <w:t xml:space="preserve">(~80%), </w:t>
            </w:r>
            <w:r w:rsidRPr="00EE7435">
              <w:rPr>
                <w:i/>
              </w:rPr>
              <w:t>CREBBP</w:t>
            </w:r>
            <w:r w:rsidRPr="00EE7435">
              <w:t xml:space="preserve"> (~65%), </w:t>
            </w:r>
            <w:r w:rsidRPr="00EE7435">
              <w:rPr>
                <w:i/>
              </w:rPr>
              <w:t>EZH2</w:t>
            </w:r>
            <w:r w:rsidRPr="00EE7435">
              <w:t xml:space="preserve"> (~25%), </w:t>
            </w:r>
            <w:r w:rsidRPr="00EE7435">
              <w:rPr>
                <w:i/>
              </w:rPr>
              <w:t>ARID1A</w:t>
            </w:r>
            <w:r w:rsidRPr="00EE7435">
              <w:t xml:space="preserve"> (~15%) and </w:t>
            </w:r>
            <w:r w:rsidRPr="00EE7435">
              <w:rPr>
                <w:i/>
              </w:rPr>
              <w:t xml:space="preserve">EP300 </w:t>
            </w:r>
            <w:r w:rsidRPr="00EE7435">
              <w:t xml:space="preserve">(~10%) </w:t>
            </w:r>
            <w:r w:rsidRPr="00AF1CC9">
              <w:t>mutations</w: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6-8</w:t>
            </w:r>
            <w:r w:rsidR="00327CF9">
              <w:fldChar w:fldCharType="end"/>
            </w:r>
            <w:r w:rsidRPr="00AF1CC9">
              <w:t>.</w:t>
            </w:r>
          </w:p>
          <w:p w14:paraId="723A160B" w14:textId="3D7E9B6E" w:rsidR="00417180" w:rsidRPr="00AF1CC9" w:rsidRDefault="00417180" w:rsidP="00AE75F1">
            <w:pPr>
              <w:pStyle w:val="CLIN3BULLETPOINTS"/>
            </w:pPr>
            <w:r w:rsidRPr="00AF1CC9">
              <w:t>Other recurrently mutated genes in classic FL include</w:t>
            </w:r>
            <w:r w:rsidRPr="00AF1CC9">
              <w:rPr>
                <w:i/>
              </w:rPr>
              <w:t xml:space="preserve"> STAT6</w:t>
            </w:r>
            <w:r w:rsidRPr="00122770">
              <w:t>,</w:t>
            </w:r>
            <w:r w:rsidRPr="00AF1CC9">
              <w:rPr>
                <w:i/>
              </w:rPr>
              <w:t xml:space="preserve"> FOXO1</w:t>
            </w:r>
            <w:r w:rsidRPr="00122770">
              <w:t>,</w:t>
            </w:r>
            <w:r w:rsidRPr="00AF1CC9">
              <w:rPr>
                <w:i/>
              </w:rPr>
              <w:t xml:space="preserve"> RRAGC</w:t>
            </w:r>
            <w:r w:rsidRPr="00122770">
              <w:t>,</w:t>
            </w:r>
            <w:r w:rsidRPr="00AF1CC9">
              <w:rPr>
                <w:i/>
              </w:rPr>
              <w:t xml:space="preserve"> TNFAIP3</w:t>
            </w:r>
            <w:r w:rsidRPr="00122770">
              <w:t>,</w:t>
            </w:r>
            <w:r w:rsidRPr="00AF1CC9">
              <w:rPr>
                <w:i/>
              </w:rPr>
              <w:t xml:space="preserve"> IRF8 </w:t>
            </w:r>
            <w:r w:rsidRPr="00AF1CC9">
              <w:t xml:space="preserve">and </w:t>
            </w:r>
            <w:r w:rsidRPr="00AF1CC9">
              <w:rPr>
                <w:i/>
              </w:rPr>
              <w:t>CARD11</w: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 </w:instrTex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EN.CITE.DATA </w:instrText>
            </w:r>
            <w:r w:rsidR="00327CF9">
              <w:rPr>
                <w:i/>
              </w:rPr>
            </w:r>
            <w:r w:rsidR="00327CF9">
              <w:rPr>
                <w:i/>
              </w:rPr>
              <w:fldChar w:fldCharType="end"/>
            </w:r>
            <w:r w:rsidR="00327CF9">
              <w:rPr>
                <w:i/>
              </w:rPr>
            </w:r>
            <w:r w:rsidR="00327CF9">
              <w:rPr>
                <w:i/>
              </w:rPr>
              <w:fldChar w:fldCharType="separate"/>
            </w:r>
            <w:r w:rsidR="00327CF9" w:rsidRPr="00327CF9">
              <w:rPr>
                <w:i/>
                <w:vertAlign w:val="superscript"/>
              </w:rPr>
              <w:t>9-11</w:t>
            </w:r>
            <w:r w:rsidR="00327CF9">
              <w:rPr>
                <w:i/>
              </w:rPr>
              <w:fldChar w:fldCharType="end"/>
            </w:r>
            <w:r w:rsidRPr="00AF1CC9">
              <w:t xml:space="preserve">. </w:t>
            </w:r>
          </w:p>
          <w:p w14:paraId="396C991C" w14:textId="05BAC4DF" w:rsidR="00417180" w:rsidRPr="00AF1CC9" w:rsidRDefault="00417180" w:rsidP="00AE75F1">
            <w:pPr>
              <w:pStyle w:val="CLIN3BULLETPOINTS"/>
            </w:pPr>
            <w:r w:rsidRPr="00AF1CC9">
              <w:t>The finding of 1p36/</w:t>
            </w:r>
            <w:r w:rsidRPr="00AF1CC9">
              <w:rPr>
                <w:i/>
              </w:rPr>
              <w:t>TNFRSF14</w:t>
            </w:r>
            <w:r w:rsidRPr="00AF1CC9">
              <w:t xml:space="preserve"> abnormalities along with </w:t>
            </w:r>
            <w:r w:rsidRPr="00AF1CC9">
              <w:rPr>
                <w:i/>
              </w:rPr>
              <w:t>STAT6</w:t>
            </w:r>
            <w:r w:rsidRPr="00122770">
              <w:t>,</w:t>
            </w:r>
            <w:r w:rsidRPr="00AF1CC9">
              <w:t xml:space="preserve"> </w:t>
            </w:r>
            <w:r w:rsidRPr="00AF1CC9">
              <w:rPr>
                <w:i/>
              </w:rPr>
              <w:t>CREBBP</w:t>
            </w:r>
            <w:r w:rsidRPr="00AF1CC9">
              <w:t xml:space="preserve"> and/or </w:t>
            </w:r>
            <w:r w:rsidRPr="00AF1CC9">
              <w:rPr>
                <w:i/>
              </w:rPr>
              <w:t xml:space="preserve">KMT2D </w:t>
            </w:r>
            <w:r w:rsidRPr="00AF1CC9">
              <w:t>mutations support</w:t>
            </w:r>
            <w:r w:rsidR="000157BC">
              <w:t>s</w:t>
            </w:r>
            <w:r w:rsidRPr="00AF1CC9">
              <w:t xml:space="preserve"> a diagnosis of a t(14;18)-negative FL</w: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12,13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163A9D6B" w14:textId="589C9000" w:rsidR="00417180" w:rsidRPr="00AF1CC9" w:rsidRDefault="00327CF9" w:rsidP="001F07C0">
            <w:pPr>
              <w:pStyle w:val="CLIN3BULLETPOINTS"/>
            </w:pPr>
            <w:r>
              <w:t>P</w:t>
            </w:r>
            <w:r w:rsidR="00052B54">
              <w:t>r</w:t>
            </w:r>
            <w:r>
              <w:t>imary</w:t>
            </w:r>
            <w:r w:rsidR="00052B54">
              <w:t xml:space="preserve"> WHO</w:t>
            </w:r>
            <w:r>
              <w:t xml:space="preserve"> diagnostic criteria for p</w:t>
            </w:r>
            <w:r w:rsidR="00417180" w:rsidRPr="00AF1CC9">
              <w:t xml:space="preserve">aediatric-type FL </w:t>
            </w:r>
            <w:r>
              <w:t>include the</w:t>
            </w:r>
            <w:r w:rsidR="00417180" w:rsidRPr="00AF1CC9">
              <w:t xml:space="preserve"> absence of </w:t>
            </w:r>
            <w:r w:rsidR="00417180" w:rsidRPr="00AF1CC9">
              <w:rPr>
                <w:i/>
              </w:rPr>
              <w:t>BCL2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BCL6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IRF4 </w:t>
            </w:r>
            <w:r w:rsidR="00417180" w:rsidRPr="00AF1CC9">
              <w:t xml:space="preserve">and aberrant immunoglobulin gene rearrangements as well as not having </w:t>
            </w:r>
            <w:r w:rsidR="00417180" w:rsidRPr="00AF1CC9">
              <w:rPr>
                <w:i/>
              </w:rPr>
              <w:t>BCL2</w:t>
            </w:r>
            <w:r w:rsidR="00417180" w:rsidRPr="00AF1CC9">
              <w:t xml:space="preserve"> amplification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327CF9">
              <w:rPr>
                <w:vertAlign w:val="superscript"/>
              </w:rPr>
              <w:t>1</w:t>
            </w:r>
            <w:r>
              <w:fldChar w:fldCharType="end"/>
            </w:r>
            <w:r w:rsidR="00417180" w:rsidRPr="00AF1CC9">
              <w:t xml:space="preserve">. Additionally, mutations in epigenetic modifiers frequently observed in classic FL are typically absent such as </w:t>
            </w:r>
            <w:r w:rsidR="00417180" w:rsidRPr="00AF1CC9">
              <w:rPr>
                <w:i/>
              </w:rPr>
              <w:t xml:space="preserve">KMT2D, CREBBP </w:t>
            </w:r>
            <w:r w:rsidR="00417180" w:rsidRPr="00AF1CC9">
              <w:t xml:space="preserve">and </w:t>
            </w:r>
            <w:r w:rsidR="00417180" w:rsidRPr="00AF1CC9">
              <w:rPr>
                <w:i/>
              </w:rPr>
              <w:t>EZH2</w:t>
            </w:r>
            <w:r w:rsidR="00417180" w:rsidRPr="00AF1CC9">
              <w:t xml:space="preserve">. Instead </w:t>
            </w:r>
            <w:r w:rsidR="00417180" w:rsidRPr="00AF1CC9">
              <w:rPr>
                <w:i/>
              </w:rPr>
              <w:t>MAP2K1</w:t>
            </w:r>
            <w:r w:rsidR="00417180" w:rsidRPr="00AF1CC9">
              <w:t xml:space="preserve"> mutations are identified in approximately 50% of cases</w: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7CF9">
              <w:rPr>
                <w:vertAlign w:val="superscript"/>
              </w:rPr>
              <w:t>14</w:t>
            </w:r>
            <w:r>
              <w:fldChar w:fldCharType="end"/>
            </w:r>
            <w:r w:rsidR="00417180" w:rsidRPr="00AF1CC9">
              <w:t>.</w:t>
            </w:r>
            <w:r w:rsidR="001F07C0">
              <w:t xml:space="preserve"> </w:t>
            </w:r>
            <w:r w:rsidR="001F07C0" w:rsidRPr="001F07C0">
              <w:t xml:space="preserve">The </w:t>
            </w:r>
            <w:r w:rsidR="001F07C0" w:rsidRPr="001F07C0">
              <w:rPr>
                <w:i/>
              </w:rPr>
              <w:t>IRF8</w:t>
            </w:r>
            <w:r w:rsidR="001F07C0">
              <w:t xml:space="preserve"> </w:t>
            </w:r>
            <w:r w:rsidR="001F07C0" w:rsidRPr="001F07C0">
              <w:t xml:space="preserve">Lys66Arg has been described as a recurrent mutation in paediatric type </w:t>
            </w:r>
            <w:r w:rsidR="001F07C0">
              <w:t>FL</w: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1F07C0">
              <w:fldChar w:fldCharType="separate"/>
            </w:r>
            <w:r w:rsidR="001F07C0" w:rsidRPr="001F07C0">
              <w:rPr>
                <w:vertAlign w:val="superscript"/>
              </w:rPr>
              <w:t>14,15</w:t>
            </w:r>
            <w:r w:rsidR="001F07C0">
              <w:fldChar w:fldCharType="end"/>
            </w:r>
            <w:r w:rsidR="001F07C0">
              <w:t>.</w:t>
            </w:r>
          </w:p>
          <w:p w14:paraId="61B5C7F8" w14:textId="77777777" w:rsidR="00417180" w:rsidRDefault="00417180" w:rsidP="00417180">
            <w:pPr>
              <w:pStyle w:val="CLIN2SUBHEADINGS"/>
            </w:pPr>
            <w:r w:rsidRPr="00AF1CC9">
              <w:t>Prognostic</w:t>
            </w:r>
            <w:r>
              <w:t xml:space="preserve"> utility</w:t>
            </w:r>
          </w:p>
          <w:p w14:paraId="15C5547B" w14:textId="280BC1B1" w:rsidR="00417180" w:rsidRPr="00AF1CC9" w:rsidRDefault="00417180" w:rsidP="00AE75F1">
            <w:pPr>
              <w:pStyle w:val="CLIN3BULLETPOINTS"/>
            </w:pPr>
            <w:r w:rsidRPr="00AF1CC9">
              <w:t>The number of additional cytogenetic abnormalities, mutational burden and degree of aberrant somatic hypermutation (aSHM) increases at histological transformation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1,16</w:t>
            </w:r>
            <w:r w:rsidR="00327CF9">
              <w:fldChar w:fldCharType="end"/>
            </w:r>
            <w:r w:rsidRPr="00AF1CC9">
              <w:t>.</w:t>
            </w:r>
          </w:p>
          <w:p w14:paraId="4E46AEED" w14:textId="3CD53A84" w:rsidR="00417180" w:rsidRPr="00417180" w:rsidRDefault="00417180" w:rsidP="00E64ED6">
            <w:pPr>
              <w:pStyle w:val="CLIN3BULLETPOINTS"/>
            </w:pPr>
            <w:r w:rsidRPr="00AF1CC9">
              <w:t xml:space="preserve">Histological transformation is associated with biallelic loss of </w:t>
            </w:r>
            <w:r w:rsidRPr="00122770">
              <w:rPr>
                <w:i/>
              </w:rPr>
              <w:t>CDKN2A</w:t>
            </w:r>
            <w:r w:rsidRPr="00122770">
              <w:t>/</w:t>
            </w:r>
            <w:r w:rsidR="00122770">
              <w:rPr>
                <w:i/>
              </w:rPr>
              <w:t>CDKN2</w:t>
            </w:r>
            <w:r w:rsidRPr="00122770">
              <w:rPr>
                <w:i/>
              </w:rPr>
              <w:t>B</w:t>
            </w:r>
            <w:r w:rsidRPr="00AF1CC9">
              <w:t xml:space="preserve"> and/or </w:t>
            </w:r>
            <w:r w:rsidRPr="00AF1CC9">
              <w:rPr>
                <w:i/>
              </w:rPr>
              <w:t>TP53</w:t>
            </w:r>
            <w:r w:rsidRPr="00AF1CC9">
              <w:t xml:space="preserve">, </w:t>
            </w:r>
            <w:r w:rsidRPr="00AF1CC9">
              <w:rPr>
                <w:i/>
              </w:rPr>
              <w:t>MYC</w:t>
            </w:r>
            <w:r w:rsidRPr="00AF1CC9">
              <w:t xml:space="preserve"> translocation and mutations in NFKB signalling (</w:t>
            </w:r>
            <w:r w:rsidRPr="00AF1CC9">
              <w:rPr>
                <w:i/>
              </w:rPr>
              <w:t>MYD88, TNFAIP3)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1,6,16,17</w:t>
            </w:r>
            <w:r w:rsidR="00327CF9">
              <w:fldChar w:fldCharType="end"/>
            </w:r>
            <w:r w:rsidRPr="00AF1CC9">
              <w:t>.</w:t>
            </w:r>
          </w:p>
          <w:p w14:paraId="08B19570" w14:textId="77777777" w:rsidR="00417180" w:rsidRPr="00AF1CC9" w:rsidRDefault="00417180" w:rsidP="00417180">
            <w:pPr>
              <w:pStyle w:val="CLIN2SUBHEADINGS"/>
            </w:pPr>
            <w:r>
              <w:t>Biomarkers of response to therapy</w:t>
            </w:r>
          </w:p>
          <w:p w14:paraId="1FBEAD46" w14:textId="46EA6CCF" w:rsidR="00417180" w:rsidRPr="00AF1CC9" w:rsidRDefault="000157BC" w:rsidP="00AE75F1">
            <w:pPr>
              <w:pStyle w:val="CLIN3BULLETPOINTS"/>
            </w:pPr>
            <w:r>
              <w:t xml:space="preserve">Activating </w:t>
            </w:r>
            <w:r w:rsidR="00417180" w:rsidRPr="00D57D25">
              <w:rPr>
                <w:i/>
              </w:rPr>
              <w:t>EZH2</w:t>
            </w:r>
            <w:r w:rsidR="00417180" w:rsidRPr="00AF1CC9">
              <w:t xml:space="preserve"> </w:t>
            </w:r>
            <w:r>
              <w:t>mutations are</w:t>
            </w:r>
            <w:r w:rsidR="00417180" w:rsidRPr="00AF1CC9">
              <w:t xml:space="preserve"> the target of the EZH2 inhibitor class of therapeutics</w:t>
            </w:r>
            <w:r w:rsidR="00327CF9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18</w:t>
            </w:r>
            <w:r w:rsidR="00327CF9">
              <w:fldChar w:fldCharType="end"/>
            </w:r>
            <w:r w:rsidR="00417180" w:rsidRPr="00AF1CC9">
              <w:t>.</w:t>
            </w:r>
          </w:p>
          <w:p w14:paraId="710A2A1F" w14:textId="77777777" w:rsidR="00417180" w:rsidRPr="00AF1CC9" w:rsidRDefault="00417180" w:rsidP="00417180">
            <w:pPr>
              <w:pStyle w:val="CLIN2SUBHEADINGS"/>
            </w:pPr>
            <w:r w:rsidRPr="00AF1CC9">
              <w:t>References</w:t>
            </w:r>
          </w:p>
          <w:p w14:paraId="5E63B4E7" w14:textId="6ABCBEE0" w:rsidR="001F07C0" w:rsidRPr="001F07C0" w:rsidRDefault="00327CF9" w:rsidP="00EE7435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1F07C0" w:rsidRPr="001F07C0">
              <w:rPr>
                <w:b/>
              </w:rPr>
              <w:t>1.</w:t>
            </w:r>
            <w:r w:rsidR="001F07C0" w:rsidRPr="001F07C0">
              <w:t xml:space="preserve"> Swerdlow S, et al. WHO Classification of Tumours of Haematopoietic and Lymphoid Tissues (revised 4th edition). Lyon: IARC; 2017.  </w:t>
            </w:r>
            <w:r w:rsidR="001F07C0" w:rsidRPr="001F07C0">
              <w:rPr>
                <w:b/>
              </w:rPr>
              <w:t>2.</w:t>
            </w:r>
            <w:r w:rsidR="001F07C0" w:rsidRPr="001F07C0">
              <w:t xml:space="preserve"> Schmidt J, et al. CREBBP gene mutations are frequently detected in in situ follicular neoplasia.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(25): 2687-90.  </w:t>
            </w:r>
            <w:r w:rsidR="001F07C0" w:rsidRPr="001F07C0">
              <w:rPr>
                <w:b/>
              </w:rPr>
              <w:t>3.</w:t>
            </w:r>
            <w:r w:rsidR="001F07C0" w:rsidRPr="001F07C0">
              <w:t xml:space="preserve"> Hellmuth JC, et al. Duodenal-type and nodal follicular lymphomas differ by their immune microenvironment rather than their mutation profiles.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(16): 1695-702.  </w:t>
            </w:r>
            <w:r w:rsidR="001F07C0" w:rsidRPr="001F07C0">
              <w:rPr>
                <w:b/>
              </w:rPr>
              <w:t>4.</w:t>
            </w:r>
            <w:r w:rsidR="001F07C0" w:rsidRPr="001F07C0">
              <w:t xml:space="preserve"> Burkhard R, et al. BCL2 mutation spectrum in B-cell non-Hodgkin lymphomas and patterns associated with evolution of follicular lymphoma. </w:t>
            </w:r>
            <w:r w:rsidR="001F07C0" w:rsidRPr="001F07C0">
              <w:rPr>
                <w:i/>
              </w:rPr>
              <w:t>Hematological Oncology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33</w:t>
            </w:r>
            <w:r w:rsidR="001F07C0" w:rsidRPr="001F07C0">
              <w:t xml:space="preserve">(1): 23-30.  </w:t>
            </w:r>
            <w:r w:rsidR="001F07C0" w:rsidRPr="001F07C0">
              <w:rPr>
                <w:b/>
              </w:rPr>
              <w:t>5.</w:t>
            </w:r>
            <w:r w:rsidR="001F07C0" w:rsidRPr="001F07C0">
              <w:t xml:space="preserve"> Saito M, et al. BCL6 suppression of BCL2 via Miz1 and its disruption in diffuse large B cell lymphoma. </w:t>
            </w:r>
            <w:r w:rsidR="001F07C0" w:rsidRPr="001F07C0">
              <w:rPr>
                <w:i/>
              </w:rPr>
              <w:t>Proc Natl Acad Sci U S A</w:t>
            </w:r>
            <w:r w:rsidR="001F07C0" w:rsidRPr="001F07C0">
              <w:t xml:space="preserve"> 2009; </w:t>
            </w:r>
            <w:r w:rsidR="001F07C0" w:rsidRPr="001F07C0">
              <w:rPr>
                <w:b/>
              </w:rPr>
              <w:t>106</w:t>
            </w:r>
            <w:r w:rsidR="001F07C0" w:rsidRPr="001F07C0">
              <w:t xml:space="preserve">(27): 11294-9.  </w:t>
            </w:r>
            <w:r w:rsidR="001F07C0" w:rsidRPr="001F07C0">
              <w:rPr>
                <w:b/>
              </w:rPr>
              <w:t>6.</w:t>
            </w:r>
            <w:r w:rsidR="001F07C0" w:rsidRPr="001F07C0">
              <w:t xml:space="preserve"> Okosun J, et al. Integrated genomic analysis identifies recurrent mutations and evolution patterns driving the initiation and progression of follicular lymphoma. </w:t>
            </w:r>
            <w:r w:rsidR="001F07C0" w:rsidRPr="001F07C0">
              <w:rPr>
                <w:i/>
              </w:rPr>
              <w:t>Nat Genet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46</w:t>
            </w:r>
            <w:r w:rsidR="001F07C0" w:rsidRPr="001F07C0">
              <w:t xml:space="preserve">(2): 176-81.  </w:t>
            </w:r>
            <w:r w:rsidR="001F07C0" w:rsidRPr="001F07C0">
              <w:rPr>
                <w:b/>
              </w:rPr>
              <w:t>7.</w:t>
            </w:r>
            <w:r w:rsidR="001F07C0" w:rsidRPr="001F07C0">
              <w:t xml:space="preserve"> Green MR. Chromatin modifying gene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131</w:t>
            </w:r>
            <w:r w:rsidR="001F07C0" w:rsidRPr="001F07C0">
              <w:t xml:space="preserve">(6): 595-604.  </w:t>
            </w:r>
            <w:r w:rsidR="001F07C0" w:rsidRPr="001F07C0">
              <w:rPr>
                <w:b/>
              </w:rPr>
              <w:t>8.</w:t>
            </w:r>
            <w:r w:rsidR="001F07C0" w:rsidRPr="001F07C0">
              <w:t xml:space="preserve"> Krysiak K, et al. Recurrent somatic mutations affecting B-cell receptor signaling pathway genes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129</w:t>
            </w:r>
            <w:r w:rsidR="001F07C0" w:rsidRPr="001F07C0">
              <w:t xml:space="preserve">(4): 473-83.  </w:t>
            </w:r>
            <w:r w:rsidR="001F07C0" w:rsidRPr="001F07C0">
              <w:rPr>
                <w:b/>
              </w:rPr>
              <w:t>9.</w:t>
            </w:r>
            <w:r w:rsidR="001F07C0" w:rsidRPr="001F07C0">
              <w:t xml:space="preserve"> Pastore A, et al. Integration of gene mutations in risk prognostication for patients receiving first-line immunochemotherapy for follicular lymphoma: a retrospective analysis of a prospective clinical trial and validation in a population-based registry.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16</w:t>
            </w:r>
            <w:r w:rsidR="001F07C0" w:rsidRPr="001F07C0">
              <w:t xml:space="preserve">(9): 1111-22.  </w:t>
            </w:r>
            <w:r w:rsidR="001F07C0" w:rsidRPr="001F07C0">
              <w:rPr>
                <w:b/>
              </w:rPr>
              <w:t>10.</w:t>
            </w:r>
            <w:r w:rsidR="001F07C0" w:rsidRPr="001F07C0">
              <w:t xml:space="preserve"> Yildiz M, et al. Activating STAT6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668-79.  </w:t>
            </w:r>
            <w:r w:rsidR="001F07C0" w:rsidRPr="001F07C0">
              <w:rPr>
                <w:b/>
              </w:rPr>
              <w:t>11.</w:t>
            </w:r>
            <w:r w:rsidR="001F07C0" w:rsidRPr="001F07C0">
              <w:t xml:space="preserve"> Okosun J, et al. Recurrent mTORC1-activating RRAGC mutations in follicular lymphoma. </w:t>
            </w:r>
            <w:r w:rsidR="001F07C0" w:rsidRPr="001F07C0">
              <w:rPr>
                <w:i/>
              </w:rPr>
              <w:t>Nature Genetics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48</w:t>
            </w:r>
            <w:r w:rsidR="001F07C0" w:rsidRPr="001F07C0">
              <w:t xml:space="preserve">(2): 183-8.  </w:t>
            </w:r>
            <w:r w:rsidR="001F07C0" w:rsidRPr="001F07C0">
              <w:rPr>
                <w:b/>
              </w:rPr>
              <w:t>12.</w:t>
            </w:r>
            <w:r w:rsidR="001F07C0" w:rsidRPr="001F07C0">
              <w:t xml:space="preserve"> Nann D, et al. Follicular lymphoma t(14;18)-negative is genetically a heterogeneous disease. </w:t>
            </w:r>
            <w:r w:rsidR="001F07C0" w:rsidRPr="001F07C0">
              <w:rPr>
                <w:i/>
              </w:rPr>
              <w:t>Blood Advances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4</w:t>
            </w:r>
            <w:r w:rsidR="001F07C0" w:rsidRPr="001F07C0">
              <w:t xml:space="preserve">(22): 5652-65.  </w:t>
            </w:r>
            <w:r w:rsidR="001F07C0" w:rsidRPr="001F07C0">
              <w:rPr>
                <w:b/>
              </w:rPr>
              <w:t>13.</w:t>
            </w:r>
            <w:r w:rsidR="001F07C0" w:rsidRPr="001F07C0">
              <w:t xml:space="preserve"> Xian RR, et al. CREBBP and STAT6 co-mutation and 16p13 and 1p36 loss define the t(14;18)-negative diffuse variant of follicular lymphoma. </w:t>
            </w:r>
            <w:r w:rsidR="001F07C0" w:rsidRPr="001F07C0">
              <w:rPr>
                <w:i/>
              </w:rPr>
              <w:t>Blood Cancer Journal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10</w:t>
            </w:r>
            <w:r w:rsidR="001F07C0" w:rsidRPr="001F07C0">
              <w:t xml:space="preserve">(6): 69.  </w:t>
            </w:r>
            <w:r w:rsidR="001F07C0" w:rsidRPr="001F07C0">
              <w:rPr>
                <w:b/>
              </w:rPr>
              <w:t>14.</w:t>
            </w:r>
            <w:r w:rsidR="001F07C0" w:rsidRPr="001F07C0">
              <w:t xml:space="preserve"> Schmidt J, et al. Mutations of MAP2K1 are frequent in pediatric-type follicular lymphoma and result in ERK pathway activation.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130</w:t>
            </w:r>
            <w:r w:rsidR="001F07C0" w:rsidRPr="001F07C0">
              <w:t xml:space="preserve">(3): 323-7.  </w:t>
            </w:r>
            <w:r w:rsidR="001F07C0" w:rsidRPr="001F07C0">
              <w:rPr>
                <w:b/>
              </w:rPr>
              <w:t>15.</w:t>
            </w:r>
            <w:r w:rsidR="001F07C0" w:rsidRPr="001F07C0">
              <w:t xml:space="preserve"> Ozawa MG, et al. A study of the mutational landscape of pediatric-type follicular lymphoma and pediatric nodal marginal zone lymphoma. </w:t>
            </w:r>
            <w:r w:rsidR="001F07C0" w:rsidRPr="001F07C0">
              <w:rPr>
                <w:i/>
              </w:rPr>
              <w:t>Mod Pathol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29</w:t>
            </w:r>
            <w:r w:rsidR="001F07C0" w:rsidRPr="001F07C0">
              <w:t xml:space="preserve">(10): 1212-20.  </w:t>
            </w:r>
            <w:r w:rsidR="001F07C0" w:rsidRPr="001F07C0">
              <w:rPr>
                <w:b/>
              </w:rPr>
              <w:t>16.</w:t>
            </w:r>
            <w:r w:rsidR="001F07C0" w:rsidRPr="001F07C0">
              <w:t xml:space="preserve"> Pasqualucci L, et al. Genetics of Follicular Lymphoma Transformation. </w:t>
            </w:r>
            <w:r w:rsidR="001F07C0" w:rsidRPr="001F07C0">
              <w:rPr>
                <w:i/>
              </w:rPr>
              <w:t>Cell Reports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6</w:t>
            </w:r>
            <w:r w:rsidR="001F07C0" w:rsidRPr="001F07C0">
              <w:t xml:space="preserve">(1): 130-40.  </w:t>
            </w:r>
            <w:r w:rsidR="001F07C0" w:rsidRPr="001F07C0">
              <w:rPr>
                <w:b/>
              </w:rPr>
              <w:t>17.</w:t>
            </w:r>
            <w:r w:rsidR="001F07C0" w:rsidRPr="001F07C0">
              <w:t xml:space="preserve"> Correia C, et al. BCL2 mutations are associated with increased risk of transformation and shortened survival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658-67.  </w:t>
            </w:r>
            <w:r w:rsidR="001F07C0" w:rsidRPr="001F07C0">
              <w:rPr>
                <w:b/>
              </w:rPr>
              <w:t>18.</w:t>
            </w:r>
            <w:r w:rsidR="001F07C0" w:rsidRPr="001F07C0">
              <w:t xml:space="preserve"> Morschhauser F, et al. Tazemetostat for patients with relapsed or refractory follicular lymphoma: an open-label, single-arm, multicentre, phase 2 trial.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21</w:t>
            </w:r>
            <w:r w:rsidR="001F07C0" w:rsidRPr="001F07C0">
              <w:t xml:space="preserve">(11): 1433-42.  </w:t>
            </w:r>
          </w:p>
          <w:p w14:paraId="57476F94" w14:textId="1D6FA042" w:rsidR="00417180" w:rsidRPr="00850347" w:rsidRDefault="00327CF9" w:rsidP="00327CF9">
            <w:pPr>
              <w:pStyle w:val="EndNoteBibliography"/>
            </w:pPr>
            <w:r>
              <w:rPr>
                <w:noProof/>
                <w:sz w:val="6"/>
                <w:szCs w:val="6"/>
              </w:rPr>
              <w:fldChar w:fldCharType="end"/>
            </w:r>
          </w:p>
        </w:tc>
      </w:tr>
    </w:tbl>
    <w:p w14:paraId="77E570B2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70BB5C00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422C98BC" w14:textId="57B434F6" w:rsidR="00F166A0" w:rsidRPr="006D284C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6D284C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00AD" w14:textId="77777777" w:rsidR="00BD2ADA" w:rsidRDefault="00BD2ADA">
      <w:pPr>
        <w:spacing w:after="0" w:line="240" w:lineRule="auto"/>
      </w:pPr>
      <w:r>
        <w:separator/>
      </w:r>
    </w:p>
  </w:endnote>
  <w:endnote w:type="continuationSeparator" w:id="0">
    <w:p w14:paraId="6F463555" w14:textId="77777777" w:rsidR="00BD2ADA" w:rsidRDefault="00BD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9BD7" w14:textId="2B7122D8" w:rsidR="00000000" w:rsidRPr="00070923" w:rsidRDefault="00000000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C70C" w14:textId="77777777" w:rsidR="00BD2ADA" w:rsidRDefault="00BD2ADA">
      <w:pPr>
        <w:spacing w:after="0" w:line="240" w:lineRule="auto"/>
      </w:pPr>
      <w:r>
        <w:separator/>
      </w:r>
    </w:p>
  </w:footnote>
  <w:footnote w:type="continuationSeparator" w:id="0">
    <w:p w14:paraId="071688E5" w14:textId="77777777" w:rsidR="00BD2ADA" w:rsidRDefault="00BD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3604">
    <w:abstractNumId w:val="0"/>
  </w:num>
  <w:num w:numId="2" w16cid:durableId="1739786472">
    <w:abstractNumId w:val="2"/>
  </w:num>
  <w:num w:numId="3" w16cid:durableId="20769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31&lt;/item&gt;&lt;item&gt;439&lt;/item&gt;&lt;item&gt;794&lt;/item&gt;&lt;item&gt;889&lt;/item&gt;&lt;item&gt;1090&lt;/item&gt;&lt;item&gt;1244&lt;/item&gt;&lt;item&gt;2299&lt;/item&gt;&lt;item&gt;2679&lt;/item&gt;&lt;item&gt;3193&lt;/item&gt;&lt;item&gt;3234&lt;/item&gt;&lt;item&gt;3235&lt;/item&gt;&lt;item&gt;3275&lt;/item&gt;&lt;item&gt;3276&lt;/item&gt;&lt;item&gt;3278&lt;/item&gt;&lt;item&gt;3280&lt;/item&gt;&lt;item&gt;3470&lt;/item&gt;&lt;item&gt;3471&lt;/item&gt;&lt;item&gt;3472&lt;/item&gt;&lt;/record-ids&gt;&lt;/item&gt;&lt;/Libraries&gt;"/>
  </w:docVars>
  <w:rsids>
    <w:rsidRoot w:val="00F166A0"/>
    <w:rsid w:val="000157BC"/>
    <w:rsid w:val="00052B54"/>
    <w:rsid w:val="00072CED"/>
    <w:rsid w:val="000E668C"/>
    <w:rsid w:val="00122770"/>
    <w:rsid w:val="001F07C0"/>
    <w:rsid w:val="0020643B"/>
    <w:rsid w:val="00327CF9"/>
    <w:rsid w:val="00417180"/>
    <w:rsid w:val="005B783A"/>
    <w:rsid w:val="005B78C2"/>
    <w:rsid w:val="006D284C"/>
    <w:rsid w:val="007A1730"/>
    <w:rsid w:val="0086782A"/>
    <w:rsid w:val="008F1D2C"/>
    <w:rsid w:val="00AE75F1"/>
    <w:rsid w:val="00AF5D34"/>
    <w:rsid w:val="00BD2ADA"/>
    <w:rsid w:val="00C266BE"/>
    <w:rsid w:val="00C64878"/>
    <w:rsid w:val="00CB67B4"/>
    <w:rsid w:val="00D02B85"/>
    <w:rsid w:val="00D57D25"/>
    <w:rsid w:val="00D97F43"/>
    <w:rsid w:val="00E00165"/>
    <w:rsid w:val="00E13354"/>
    <w:rsid w:val="00E50A32"/>
    <w:rsid w:val="00E57784"/>
    <w:rsid w:val="00E64ED6"/>
    <w:rsid w:val="00E74528"/>
    <w:rsid w:val="00EE7435"/>
    <w:rsid w:val="00F166A0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6D284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7A1730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6D284C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7A1730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paragraph" w:customStyle="1" w:styleId="EndNoteBibliographyTitle">
    <w:name w:val="EndNote Bibliography Title"/>
    <w:basedOn w:val="Normal"/>
    <w:link w:val="EndNoteBibliographyTitleChar"/>
    <w:rsid w:val="007A1730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1730"/>
    <w:rPr>
      <w:rFonts w:ascii="Calibri" w:hAnsi="Calibri" w:cs="Calibri"/>
      <w:noProof/>
      <w:sz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6</cp:revision>
  <dcterms:created xsi:type="dcterms:W3CDTF">2022-03-02T03:25:00Z</dcterms:created>
  <dcterms:modified xsi:type="dcterms:W3CDTF">2024-05-20T21:59:00Z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