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6A0" w:rsidRPr="000320B3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0320B3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:rsidR="00BE1A01" w:rsidRPr="000320B3" w:rsidRDefault="00BE1A01" w:rsidP="00BE1A01">
            <w:pPr>
              <w:pStyle w:val="CLIN1HEADING"/>
              <w:rPr>
                <w:rFonts w:cs="Calibri"/>
              </w:rPr>
            </w:pPr>
            <w:r w:rsidRPr="000320B3">
              <w:rPr>
                <w:rFonts w:cs="Calibri"/>
              </w:rPr>
              <w:t xml:space="preserve">Clinical Utility of Molecular Testing in </w:t>
            </w:r>
            <w:r w:rsidRPr="000320B3">
              <w:rPr>
                <w:rFonts w:cs="Calibri"/>
              </w:rPr>
              <w:br/>
              <w:t>the Investigation of Eosinophilia</w:t>
            </w:r>
          </w:p>
          <w:p w:rsidR="00BE1A01" w:rsidRPr="000320B3" w:rsidRDefault="00BE1A01" w:rsidP="00BE1A01">
            <w:pPr>
              <w:pStyle w:val="CLIN2SUBHEADINGS"/>
              <w:rPr>
                <w:rFonts w:cs="Calibri"/>
              </w:rPr>
            </w:pPr>
            <w:r w:rsidRPr="000320B3">
              <w:rPr>
                <w:rFonts w:cs="Calibri"/>
              </w:rPr>
              <w:t>Diagnostic utility</w:t>
            </w:r>
          </w:p>
          <w:p w:rsidR="00BE1A01" w:rsidRPr="000320B3" w:rsidRDefault="00BE1A01" w:rsidP="006422D8">
            <w:pPr>
              <w:pStyle w:val="CLIN3BULLETPOINTS"/>
              <w:rPr>
                <w:rFonts w:cs="Calibri"/>
              </w:rPr>
            </w:pPr>
            <w:r w:rsidRPr="000320B3">
              <w:rPr>
                <w:rFonts w:cs="Calibri"/>
              </w:rPr>
              <w:t>Hypereosinophilia (≥1.5 x 10</w:t>
            </w:r>
            <w:r w:rsidRPr="000320B3">
              <w:rPr>
                <w:rFonts w:cs="Calibri"/>
                <w:vertAlign w:val="superscript"/>
              </w:rPr>
              <w:t>9</w:t>
            </w:r>
            <w:r w:rsidRPr="000320B3">
              <w:rPr>
                <w:rFonts w:cs="Calibri"/>
              </w:rPr>
              <w:t xml:space="preserve">/L) and hypereosinophilic syndrome (HES, with evidence of organ dysfunction) </w:t>
            </w:r>
            <w:r w:rsidR="00C84307">
              <w:rPr>
                <w:rFonts w:cs="Calibri"/>
              </w:rPr>
              <w:t>have</w:t>
            </w:r>
            <w:r w:rsidRPr="000320B3">
              <w:rPr>
                <w:rFonts w:cs="Calibri"/>
              </w:rPr>
              <w:t xml:space="preserve"> varied aetiologies including secondary (reactive), primary (clonal) and idiopathic</w:t>
            </w:r>
            <w:r w:rsidRPr="000320B3">
              <w:rPr>
                <w:rFonts w:cs="Calibri"/>
              </w:rPr>
              <w:fldChar w:fldCharType="begin">
                <w:fldData xml:space="preserve">PEVuZE5vdGU+PENpdGU+PEF1dGhvcj5CdXR0PC9BdXRob3I+PFllYXI+MjAxNzwvWWVhcj48UmVj
TnVtPjMyNzM8L1JlY051bT48RGlzcGxheVRleHQ+PHN0eWxlIGZhY2U9InN1cGVyc2NyaXB0Ij4x
LDI8L3N0eWxlPjwvRGlzcGxheVRleHQ+PHJlY29yZD48cmVjLW51bWJlcj4zMjczPC9yZWMtbnVt
YmVyPjxmb3JlaWduLWtleXM+PGtleSBhcHA9IkVOIiBkYi1pZD0iNXdlcDJzNXNmdzJldDZldnJ0
enAwOTJicnR6MnMwZDIwc3Z3IiB0aW1lc3RhbXA9IjE2MzM0MDk5MzIiIGd1aWQ9ImIzZjRiMDQ2
LTIxNTAtNGQ3YS04NjJiLTJkNmFjYmIxMzQ0OSI+MzI3Mzwva2V5PjwvZm9yZWlnbi1rZXlzPjxy
ZWYtdHlwZSBuYW1lPSJKb3VybmFsIEFydGljbGUiPjE3PC9yZWYtdHlwZT48Y29udHJpYnV0b3Jz
PjxhdXRob3JzPjxhdXRob3I+QnV0dCwgTmF1bWFuIE0uPC9hdXRob3I+PGF1dGhvcj5MYW1iZXJ0
LCBKb25hdGhhbjwvYXV0aG9yPjxhdXRob3I+QWxpLCBTYWhyYTwvYXV0aG9yPjxhdXRob3I+QmVl
ciwgUGhpbGlwIEEuPC9hdXRob3I+PGF1dGhvcj5Dcm9zcywgTmljaG9sYXMgQy4gUC48L2F1dGhv
cj48YXV0aG9yPkR1bmNvbWJlLCBBbmRyZXc8L2F1dGhvcj48YXV0aG9yPkV3aW5nLCBKb2FubmU8
L2F1dGhvcj48YXV0aG9yPkhhcnJpc29uLCBDbGFpcmUgTi48L2F1dGhvcj48YXV0aG9yPktuYXBw
ZXIsIFN0ZXZlbjwvYXV0aG9yPjxhdXRob3I+TWNMb3JuYW4sIERvbmFsPC9hdXRob3I+PGF1dGhv
cj5NZWFkLCBBZGFtIEouPC9hdXRob3I+PGF1dGhvcj5SYWRpYSwgRGVlcHRpPC9hdXRob3I+PGF1
dGhvcj5CYWluLCBCYXJiYXJhIEouPC9hdXRob3I+PGF1dGhvcj50aGUgQnJpdGlzaCBDb21taXR0
ZWUgZm9yIFN0YW5kYXJkcyBpbiBIYWVtYXRvbG9neTwvYXV0aG9yPjwvYXV0aG9ycz48L2NvbnRy
aWJ1dG9ycz48dGl0bGVzPjx0aXRsZT5HdWlkZWxpbmUgZm9yIHRoZSBpbnZlc3RpZ2F0aW9uIGFu
ZCBtYW5hZ2VtZW50IG9mIGVvc2lub3BoaWxpYTwvdGl0bGU+PHNlY29uZGFyeS10aXRsZT5Ccml0
aXNoIEpvdXJuYWwgb2YgSGFlbWF0b2xvZ3k8L3NlY29uZGFyeS10aXRsZT48L3RpdGxlcz48cGVy
aW9kaWNhbD48ZnVsbC10aXRsZT5CciBKIEhhZW1hdG9sPC9mdWxsLXRpdGxlPjxhYmJyLTE+QnJp
dGlzaCBqb3VybmFsIG9mIGhhZW1hdG9sb2d5PC9hYmJyLTE+PC9wZXJpb2RpY2FsPjxwYWdlcz41
NTMtNTcyPC9wYWdlcz48dm9sdW1lPjE3Njwvdm9sdW1lPjxudW1iZXI+NDwvbnVtYmVyPjxkYXRl
cz48eWVhcj4yMDE3PC95ZWFyPjwvZGF0ZXM+PGlzYm4+MDAwNy0xMDQ4PC9pc2JuPjx1cmxzPjxy
ZWxhdGVkLXVybHM+PHVybD5odHRwczovL29ubGluZWxpYnJhcnkud2lsZXkuY29tL2RvaS9hYnMv
MTAuMTExMS9iamguMTQ0ODg8L3VybD48L3JlbGF0ZWQtdXJscz48L3VybHM+PGVsZWN0cm9uaWMt
cmVzb3VyY2UtbnVtPmh0dHBzOi8vZG9pLm9yZy8xMC4xMTExL2JqaC4xNDQ4ODwvZWxlY3Ryb25p
Yy1yZXNvdXJjZS1udW0+PC9yZWNvcmQ+PC9DaXRlPjxDaXRlPjxBdXRob3I+S2xpb248L0F1dGhv
cj48WWVhcj4yMDE4PC9ZZWFyPjxSZWNOdW0+NTEzNjwvUmVjTnVtPjxyZWNvcmQ+PHJlYy1udW1i
ZXI+NTEzNjwvcmVjLW51bWJlcj48Zm9yZWlnbi1rZXlzPjxrZXkgYXBwPSJFTiIgZGItaWQ9Ingy
ZmY1eHhlcHc1ZnRzZXA5NWp2cnR4ZDlwZWYyOXpkemU5MiIgdGltZXN0YW1wPSIxNjMzOTMyOTc4
Ij41MTM2PC9rZXk+PC9mb3JlaWduLWtleXM+PHJlZi10eXBlIG5hbWU9IkpvdXJuYWwgQXJ0aWNs
ZSI+MTc8L3JlZi10eXBlPjxjb250cmlidXRvcnM+PGF1dGhvcnM+PGF1dGhvcj5LbGlvbiwgQS48
L2F1dGhvcj48L2F1dGhvcnM+PC9jb250cmlidXRvcnM+PGF1dGgtYWRkcmVzcz5IdW1hbiBFb3Np
bm9waGlsIFNlY3Rpb24sIExhYm9yYXRvcnkgb2YgUGFyYXNpdGljIERpc2Vhc2VzLCBOYXRpb25h
bCBJbnN0aXR1dGUgb2YgQWxsZXJneSBhbmQgSW5mZWN0aW91cyBEaXNlYXNlcywgTmF0aW9uYWwg
SW5zdGl0dXRlcyBvZiBIZWFsdGgsIEJldGhlc2RhLCBNRC48L2F1dGgtYWRkcmVzcz48dGl0bGVz
Pjx0aXRsZT5IeXBlcmVvc2lub3BoaWxpYyBzeW5kcm9tZTogYXBwcm9hY2ggdG8gdHJlYXRtZW50
IGluIHRoZSBlcmEgb2YgcHJlY2lzaW9uIG1lZGljaW5lPC90aXRsZT48c2Vjb25kYXJ5LXRpdGxl
PkhlbWF0b2xvZ3kgQW0gU29jIEhlbWF0b2wgRWR1YyBQcm9ncmFtPC9zZWNvbmRhcnktdGl0bGU+
PC90aXRsZXM+PHBlcmlvZGljYWw+PGZ1bGwtdGl0bGU+SGVtYXRvbG9neSBBbSBTb2MgSGVtYXRv
bCBFZHVjIFByb2dyYW08L2Z1bGwtdGl0bGU+PGFiYnItMT5IZW1hdG9sb2d5IC8gdGhlIEVkdWNh
dGlvbiBQcm9ncmFtIG9mIHRoZSBBbWVyaWNhbiBTb2NpZXR5IG9mIEhlbWF0b2xvZ3kuIEFtZXJp
Y2FuIFNvY2lldHkgb2YgSGVtYXRvbG9neS4gRWR1Y2F0aW9uIFByb2dyYW08L2FiYnItMT48L3Bl
cmlvZGljYWw+PHBhZ2VzPjMyNi0zMzE8L3BhZ2VzPjx2b2x1bWU+MjAxODwvdm9sdW1lPjxudW1i
ZXI+MTwvbnVtYmVyPjxlZGl0aW9uPjIwMTgvMTIvMDc8L2VkaXRpb24+PGtleXdvcmRzPjxrZXl3
b3JkPkN5dG90b3hpbnMvKnRoZXJhcGV1dGljIHVzZTwva2V5d29yZD48a2V5d29yZD5HbHVjb2Nv
cnRpY29pZHMvKnRoZXJhcGV1dGljIHVzZTwva2V5d29yZD48a2V5d29yZD5IdW1hbnM8L2tleXdv
cmQ+PGtleXdvcmQ+SHlwZXJlb3Npbm9waGlsaWMgU3luZHJvbWUvZGlhZ25vc2lzLypkcnVnIHRo
ZXJhcHkvaW1tdW5vbG9neTwva2V5d29yZD48a2V5d29yZD5JbW11bm9sb2dpYyBGYWN0b3JzLyp0
aGVyYXBldXRpYyB1c2U8L2tleXdvcmQ+PGtleXdvcmQ+UHJlY2lzaW9uIE1lZGljaW5lLyptZXRo
b2RzPC9rZXl3b3JkPjwva2V5d29yZHM+PGRhdGVzPjx5ZWFyPjIwMTg8L3llYXI+PHB1Yi1kYXRl
cz48ZGF0ZT5Ob3YgMzA8L2RhdGU+PC9wdWItZGF0ZXM+PC9kYXRlcz48aXNibj4xNTIwLTQzODMg
KEVsZWN0cm9uaWMpJiN4RDsxNTIwLTQzODMgKExpbmtpbmcpPC9pc2JuPjxhY2Nlc3Npb24tbnVt
PjMwNTA0MzI4PC9hY2Nlc3Npb24tbnVtPjx1cmxzPjxyZWxhdGVkLXVybHM+PHVybD5odHRwczov
L3d3dy5uY2JpLm5sbS5uaWguZ292L3B1Ym1lZC8zMDUwNDMyODwvdXJsPjx1cmw+aHR0cHM6Ly93
d3cubmNiaS5ubG0ubmloLmdvdi9wbWMvYXJ0aWNsZXMvUE1DNjI0NTk2MC9wZGYvYmxvb2Rib29r
LTIwMTgtMzI2LnBkZjwvdXJsPjwvcmVsYXRlZC11cmxzPjwvdXJscz48Y3VzdG9tMj5QTUM2MjQ1
OTYwIGludGVyZXN0LjwvY3VzdG9tMj48ZWxlY3Ryb25pYy1yZXNvdXJjZS1udW0+MTAuMTE4Mi9h
c2hlZHVjYXRpb24tMjAxOC4xLjMyNjwvZWxlY3Ryb25pYy1yZXNvdXJjZS1udW0+PC9yZWNvcmQ+
PC9DaXRlPjwvRW5kTm90ZT5=
</w:fldData>
              </w:fldChar>
            </w:r>
            <w:r w:rsidR="005140BA" w:rsidRPr="000320B3">
              <w:rPr>
                <w:rFonts w:cs="Calibri"/>
              </w:rPr>
              <w:instrText xml:space="preserve"> ADDIN EN.CITE </w:instrText>
            </w:r>
            <w:r w:rsidR="005140BA" w:rsidRPr="000320B3">
              <w:rPr>
                <w:rFonts w:cs="Calibri"/>
              </w:rPr>
              <w:fldChar w:fldCharType="begin">
                <w:fldData xml:space="preserve">PEVuZE5vdGU+PENpdGU+PEF1dGhvcj5CdXR0PC9BdXRob3I+PFllYXI+MjAxNzwvWWVhcj48UmVj
TnVtPjMyNzM8L1JlY051bT48RGlzcGxheVRleHQ+PHN0eWxlIGZhY2U9InN1cGVyc2NyaXB0Ij4x
LDI8L3N0eWxlPjwvRGlzcGxheVRleHQ+PHJlY29yZD48cmVjLW51bWJlcj4zMjczPC9yZWMtbnVt
YmVyPjxmb3JlaWduLWtleXM+PGtleSBhcHA9IkVOIiBkYi1pZD0iNXdlcDJzNXNmdzJldDZldnJ0
enAwOTJicnR6MnMwZDIwc3Z3IiB0aW1lc3RhbXA9IjE2MzM0MDk5MzIiIGd1aWQ9ImIzZjRiMDQ2
LTIxNTAtNGQ3YS04NjJiLTJkNmFjYmIxMzQ0OSI+MzI3Mzwva2V5PjwvZm9yZWlnbi1rZXlzPjxy
ZWYtdHlwZSBuYW1lPSJKb3VybmFsIEFydGljbGUiPjE3PC9yZWYtdHlwZT48Y29udHJpYnV0b3Jz
PjxhdXRob3JzPjxhdXRob3I+QnV0dCwgTmF1bWFuIE0uPC9hdXRob3I+PGF1dGhvcj5MYW1iZXJ0
LCBKb25hdGhhbjwvYXV0aG9yPjxhdXRob3I+QWxpLCBTYWhyYTwvYXV0aG9yPjxhdXRob3I+QmVl
ciwgUGhpbGlwIEEuPC9hdXRob3I+PGF1dGhvcj5Dcm9zcywgTmljaG9sYXMgQy4gUC48L2F1dGhv
cj48YXV0aG9yPkR1bmNvbWJlLCBBbmRyZXc8L2F1dGhvcj48YXV0aG9yPkV3aW5nLCBKb2FubmU8
L2F1dGhvcj48YXV0aG9yPkhhcnJpc29uLCBDbGFpcmUgTi48L2F1dGhvcj48YXV0aG9yPktuYXBw
ZXIsIFN0ZXZlbjwvYXV0aG9yPjxhdXRob3I+TWNMb3JuYW4sIERvbmFsPC9hdXRob3I+PGF1dGhv
cj5NZWFkLCBBZGFtIEouPC9hdXRob3I+PGF1dGhvcj5SYWRpYSwgRGVlcHRpPC9hdXRob3I+PGF1
dGhvcj5CYWluLCBCYXJiYXJhIEouPC9hdXRob3I+PGF1dGhvcj50aGUgQnJpdGlzaCBDb21taXR0
ZWUgZm9yIFN0YW5kYXJkcyBpbiBIYWVtYXRvbG9neTwvYXV0aG9yPjwvYXV0aG9ycz48L2NvbnRy
aWJ1dG9ycz48dGl0bGVzPjx0aXRsZT5HdWlkZWxpbmUgZm9yIHRoZSBpbnZlc3RpZ2F0aW9uIGFu
ZCBtYW5hZ2VtZW50IG9mIGVvc2lub3BoaWxpYTwvdGl0bGU+PHNlY29uZGFyeS10aXRsZT5Ccml0
aXNoIEpvdXJuYWwgb2YgSGFlbWF0b2xvZ3k8L3NlY29uZGFyeS10aXRsZT48L3RpdGxlcz48cGVy
aW9kaWNhbD48ZnVsbC10aXRsZT5CciBKIEhhZW1hdG9sPC9mdWxsLXRpdGxlPjxhYmJyLTE+QnJp
dGlzaCBqb3VybmFsIG9mIGhhZW1hdG9sb2d5PC9hYmJyLTE+PC9wZXJpb2RpY2FsPjxwYWdlcz41
NTMtNTcyPC9wYWdlcz48dm9sdW1lPjE3Njwvdm9sdW1lPjxudW1iZXI+NDwvbnVtYmVyPjxkYXRl
cz48eWVhcj4yMDE3PC95ZWFyPjwvZGF0ZXM+PGlzYm4+MDAwNy0xMDQ4PC9pc2JuPjx1cmxzPjxy
ZWxhdGVkLXVybHM+PHVybD5odHRwczovL29ubGluZWxpYnJhcnkud2lsZXkuY29tL2RvaS9hYnMv
MTAuMTExMS9iamguMTQ0ODg8L3VybD48L3JlbGF0ZWQtdXJscz48L3VybHM+PGVsZWN0cm9uaWMt
cmVzb3VyY2UtbnVtPmh0dHBzOi8vZG9pLm9yZy8xMC4xMTExL2JqaC4xNDQ4ODwvZWxlY3Ryb25p
Yy1yZXNvdXJjZS1udW0+PC9yZWNvcmQ+PC9DaXRlPjxDaXRlPjxBdXRob3I+S2xpb248L0F1dGhv
cj48WWVhcj4yMDE4PC9ZZWFyPjxSZWNOdW0+NTEzNjwvUmVjTnVtPjxyZWNvcmQ+PHJlYy1udW1i
ZXI+NTEzNjwvcmVjLW51bWJlcj48Zm9yZWlnbi1rZXlzPjxrZXkgYXBwPSJFTiIgZGItaWQ9Ingy
ZmY1eHhlcHc1ZnRzZXA5NWp2cnR4ZDlwZWYyOXpkemU5MiIgdGltZXN0YW1wPSIxNjMzOTMyOTc4
Ij41MTM2PC9rZXk+PC9mb3JlaWduLWtleXM+PHJlZi10eXBlIG5hbWU9IkpvdXJuYWwgQXJ0aWNs
ZSI+MTc8L3JlZi10eXBlPjxjb250cmlidXRvcnM+PGF1dGhvcnM+PGF1dGhvcj5LbGlvbiwgQS48
L2F1dGhvcj48L2F1dGhvcnM+PC9jb250cmlidXRvcnM+PGF1dGgtYWRkcmVzcz5IdW1hbiBFb3Np
bm9waGlsIFNlY3Rpb24sIExhYm9yYXRvcnkgb2YgUGFyYXNpdGljIERpc2Vhc2VzLCBOYXRpb25h
bCBJbnN0aXR1dGUgb2YgQWxsZXJneSBhbmQgSW5mZWN0aW91cyBEaXNlYXNlcywgTmF0aW9uYWwg
SW5zdGl0dXRlcyBvZiBIZWFsdGgsIEJldGhlc2RhLCBNRC48L2F1dGgtYWRkcmVzcz48dGl0bGVz
Pjx0aXRsZT5IeXBlcmVvc2lub3BoaWxpYyBzeW5kcm9tZTogYXBwcm9hY2ggdG8gdHJlYXRtZW50
IGluIHRoZSBlcmEgb2YgcHJlY2lzaW9uIG1lZGljaW5lPC90aXRsZT48c2Vjb25kYXJ5LXRpdGxl
PkhlbWF0b2xvZ3kgQW0gU29jIEhlbWF0b2wgRWR1YyBQcm9ncmFtPC9zZWNvbmRhcnktdGl0bGU+
PC90aXRsZXM+PHBlcmlvZGljYWw+PGZ1bGwtdGl0bGU+SGVtYXRvbG9neSBBbSBTb2MgSGVtYXRv
bCBFZHVjIFByb2dyYW08L2Z1bGwtdGl0bGU+PGFiYnItMT5IZW1hdG9sb2d5IC8gdGhlIEVkdWNh
dGlvbiBQcm9ncmFtIG9mIHRoZSBBbWVyaWNhbiBTb2NpZXR5IG9mIEhlbWF0b2xvZ3kuIEFtZXJp
Y2FuIFNvY2lldHkgb2YgSGVtYXRvbG9neS4gRWR1Y2F0aW9uIFByb2dyYW08L2FiYnItMT48L3Bl
cmlvZGljYWw+PHBhZ2VzPjMyNi0zMzE8L3BhZ2VzPjx2b2x1bWU+MjAxODwvdm9sdW1lPjxudW1i
ZXI+MTwvbnVtYmVyPjxlZGl0aW9uPjIwMTgvMTIvMDc8L2VkaXRpb24+PGtleXdvcmRzPjxrZXl3
b3JkPkN5dG90b3hpbnMvKnRoZXJhcGV1dGljIHVzZTwva2V5d29yZD48a2V5d29yZD5HbHVjb2Nv
cnRpY29pZHMvKnRoZXJhcGV1dGljIHVzZTwva2V5d29yZD48a2V5d29yZD5IdW1hbnM8L2tleXdv
cmQ+PGtleXdvcmQ+SHlwZXJlb3Npbm9waGlsaWMgU3luZHJvbWUvZGlhZ25vc2lzLypkcnVnIHRo
ZXJhcHkvaW1tdW5vbG9neTwva2V5d29yZD48a2V5d29yZD5JbW11bm9sb2dpYyBGYWN0b3JzLyp0
aGVyYXBldXRpYyB1c2U8L2tleXdvcmQ+PGtleXdvcmQ+UHJlY2lzaW9uIE1lZGljaW5lLyptZXRo
b2RzPC9rZXl3b3JkPjwva2V5d29yZHM+PGRhdGVzPjx5ZWFyPjIwMTg8L3llYXI+PHB1Yi1kYXRl
cz48ZGF0ZT5Ob3YgMzA8L2RhdGU+PC9wdWItZGF0ZXM+PC9kYXRlcz48aXNibj4xNTIwLTQzODMg
KEVsZWN0cm9uaWMpJiN4RDsxNTIwLTQzODMgKExpbmtpbmcpPC9pc2JuPjxhY2Nlc3Npb24tbnVt
PjMwNTA0MzI4PC9hY2Nlc3Npb24tbnVtPjx1cmxzPjxyZWxhdGVkLXVybHM+PHVybD5odHRwczov
L3d3dy5uY2JpLm5sbS5uaWguZ292L3B1Ym1lZC8zMDUwNDMyODwvdXJsPjx1cmw+aHR0cHM6Ly93
d3cubmNiaS5ubG0ubmloLmdvdi9wbWMvYXJ0aWNsZXMvUE1DNjI0NTk2MC9wZGYvYmxvb2Rib29r
LTIwMTgtMzI2LnBkZjwvdXJsPjwvcmVsYXRlZC11cmxzPjwvdXJscz48Y3VzdG9tMj5QTUM2MjQ1
OTYwIGludGVyZXN0LjwvY3VzdG9tMj48ZWxlY3Ryb25pYy1yZXNvdXJjZS1udW0+MTAuMTE4Mi9h
c2hlZHVjYXRpb24tMjAxOC4xLjMyNjwvZWxlY3Ryb25pYy1yZXNvdXJjZS1udW0+PC9yZWNvcmQ+
PC9DaXRlPjwvRW5kTm90ZT5=
</w:fldData>
              </w:fldChar>
            </w:r>
            <w:r w:rsidR="005140BA" w:rsidRPr="000320B3">
              <w:rPr>
                <w:rFonts w:cs="Calibri"/>
              </w:rPr>
              <w:instrText xml:space="preserve"> ADDIN EN.CITE.DATA </w:instrText>
            </w:r>
            <w:r w:rsidR="005140BA" w:rsidRPr="000320B3">
              <w:rPr>
                <w:rFonts w:cs="Calibri"/>
              </w:rPr>
            </w:r>
            <w:r w:rsidR="005140BA" w:rsidRPr="000320B3">
              <w:rPr>
                <w:rFonts w:cs="Calibri"/>
              </w:rPr>
              <w:fldChar w:fldCharType="end"/>
            </w:r>
            <w:r w:rsidRPr="000320B3">
              <w:rPr>
                <w:rFonts w:cs="Calibri"/>
              </w:rPr>
            </w:r>
            <w:r w:rsidRPr="000320B3">
              <w:rPr>
                <w:rFonts w:cs="Calibri"/>
              </w:rPr>
              <w:fldChar w:fldCharType="separate"/>
            </w:r>
            <w:r w:rsidRPr="000320B3">
              <w:rPr>
                <w:rFonts w:cs="Calibri"/>
                <w:vertAlign w:val="superscript"/>
              </w:rPr>
              <w:t>1,2</w:t>
            </w:r>
            <w:r w:rsidRPr="000320B3">
              <w:rPr>
                <w:rFonts w:cs="Calibri"/>
              </w:rPr>
              <w:fldChar w:fldCharType="end"/>
            </w:r>
            <w:r w:rsidRPr="000320B3">
              <w:rPr>
                <w:rFonts w:cs="Calibri"/>
              </w:rPr>
              <w:t>.</w:t>
            </w:r>
          </w:p>
          <w:p w:rsidR="00BE1A01" w:rsidRPr="000320B3" w:rsidRDefault="00BE1A01" w:rsidP="006422D8">
            <w:pPr>
              <w:pStyle w:val="CLIN3BULLETPOINTS"/>
              <w:rPr>
                <w:rFonts w:cs="Calibri"/>
              </w:rPr>
            </w:pPr>
            <w:r w:rsidRPr="000320B3">
              <w:rPr>
                <w:rFonts w:cs="Calibri"/>
              </w:rPr>
              <w:t>Eosinophilia is most commonly reactive (</w:t>
            </w:r>
            <w:r w:rsidRPr="005E2AA9">
              <w:rPr>
                <w:rFonts w:cs="Calibri"/>
              </w:rPr>
              <w:t xml:space="preserve">e.g. </w:t>
            </w:r>
            <w:r w:rsidRPr="000320B3">
              <w:rPr>
                <w:rFonts w:cs="Calibri"/>
              </w:rPr>
              <w:t>allergy, infection, autoimmune disease, medications etc</w:t>
            </w:r>
            <w:r w:rsidRPr="000320B3">
              <w:rPr>
                <w:rFonts w:cs="Calibri"/>
                <w:i/>
              </w:rPr>
              <w:t>.</w:t>
            </w:r>
            <w:r w:rsidRPr="000320B3">
              <w:rPr>
                <w:rFonts w:cs="Calibri"/>
              </w:rPr>
              <w:t xml:space="preserve">) and therefore reactive causes should </w:t>
            </w:r>
            <w:r w:rsidR="00C84307">
              <w:rPr>
                <w:rFonts w:cs="Calibri"/>
              </w:rPr>
              <w:t xml:space="preserve">generally </w:t>
            </w:r>
            <w:bookmarkStart w:id="0" w:name="_GoBack"/>
            <w:bookmarkEnd w:id="0"/>
            <w:r w:rsidRPr="000320B3">
              <w:rPr>
                <w:rFonts w:cs="Calibri"/>
              </w:rPr>
              <w:t xml:space="preserve">be excluded prior to investigation of a haematological neoplasm. </w:t>
            </w:r>
          </w:p>
          <w:p w:rsidR="00BE1A01" w:rsidRPr="000320B3" w:rsidRDefault="00BE1A01" w:rsidP="006422D8">
            <w:pPr>
              <w:pStyle w:val="CLIN3BULLETPOINTS"/>
              <w:rPr>
                <w:rFonts w:cs="Calibri"/>
              </w:rPr>
            </w:pPr>
            <w:r w:rsidRPr="000320B3">
              <w:rPr>
                <w:rFonts w:cs="Calibri"/>
              </w:rPr>
              <w:t xml:space="preserve">A number of haematological neoplasms may be accompanied by an eosinophilia in which the eosinophils are part of the neoplastic clone. Additionally, eosinophilia may be reactive (non-clonal) to an underlying haematological or solid organ malignancy. </w:t>
            </w:r>
          </w:p>
          <w:p w:rsidR="00BE1A01" w:rsidRPr="000320B3" w:rsidRDefault="00BE1A01" w:rsidP="006422D8">
            <w:pPr>
              <w:pStyle w:val="CLIN3BULLETPOINTS"/>
              <w:rPr>
                <w:rFonts w:cs="Calibri"/>
              </w:rPr>
            </w:pPr>
            <w:r w:rsidRPr="000320B3">
              <w:rPr>
                <w:rFonts w:cs="Calibri"/>
              </w:rPr>
              <w:t xml:space="preserve">Myeloid/lymphoid neoplasms with eosinophilia and gene rearrangement is </w:t>
            </w:r>
            <w:r w:rsidR="004F4058" w:rsidRPr="000320B3">
              <w:rPr>
                <w:rFonts w:cs="Calibri"/>
              </w:rPr>
              <w:t>a provisional entity in the WHO</w:t>
            </w:r>
            <w:r w:rsidRPr="000320B3">
              <w:rPr>
                <w:rFonts w:cs="Calibri"/>
              </w:rPr>
              <w:t xml:space="preserve"> revised 4th edition</w:t>
            </w:r>
            <w:r w:rsidRPr="000320B3">
              <w:rPr>
                <w:rFonts w:cs="Calibri"/>
                <w:vertAlign w:val="superscript"/>
              </w:rPr>
              <w:fldChar w:fldCharType="begin"/>
            </w:r>
            <w:r w:rsidRPr="000320B3">
              <w:rPr>
                <w:rFonts w:cs="Calibri"/>
                <w:vertAlign w:val="superscript"/>
              </w:rPr>
              <w:instrText xml:space="preserve"> ADDIN EN.CITE &lt;EndNote&gt;&lt;Cite&gt;&lt;Author&gt;Swerdlow SH&lt;/Author&gt;&lt;Year&gt;2017&lt;/Year&gt;&lt;RecNum&gt;2679&lt;/RecNum&gt;&lt;DisplayText&gt;&lt;style face="superscript"&gt;3&lt;/style&gt;&lt;/DisplayText&gt;&lt;record&gt;&lt;rec-number&gt;2679&lt;/rec-number&gt;&lt;foreign-keys&gt;&lt;key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 SH, Campo E, Harris NL, Jaffe ES, Pileri SA, Stein H, Thiele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Pr="000320B3">
              <w:rPr>
                <w:rFonts w:cs="Calibri"/>
                <w:vertAlign w:val="superscript"/>
              </w:rPr>
              <w:fldChar w:fldCharType="separate"/>
            </w:r>
            <w:r w:rsidRPr="000320B3">
              <w:rPr>
                <w:rFonts w:cs="Calibri"/>
                <w:vertAlign w:val="superscript"/>
              </w:rPr>
              <w:t>3</w:t>
            </w:r>
            <w:r w:rsidRPr="000320B3">
              <w:rPr>
                <w:rFonts w:cs="Calibri"/>
                <w:vertAlign w:val="superscript"/>
              </w:rPr>
              <w:fldChar w:fldCharType="end"/>
            </w:r>
            <w:r w:rsidRPr="000320B3">
              <w:rPr>
                <w:rFonts w:cs="Calibri"/>
              </w:rPr>
              <w:t xml:space="preserve">. This is most commonly due to a </w:t>
            </w:r>
            <w:r w:rsidRPr="000320B3">
              <w:rPr>
                <w:rFonts w:cs="Calibri"/>
                <w:i/>
              </w:rPr>
              <w:t xml:space="preserve">PDGFRA </w:t>
            </w:r>
            <w:r w:rsidRPr="000320B3">
              <w:rPr>
                <w:rFonts w:cs="Calibri"/>
              </w:rPr>
              <w:t xml:space="preserve">rearrangement (usually </w:t>
            </w:r>
            <w:r w:rsidRPr="000320B3">
              <w:rPr>
                <w:rFonts w:cs="Calibri"/>
                <w:i/>
              </w:rPr>
              <w:t>FIP1L1-PDGFRA</w:t>
            </w:r>
            <w:r w:rsidRPr="000320B3">
              <w:rPr>
                <w:rFonts w:cs="Calibri"/>
              </w:rPr>
              <w:t xml:space="preserve"> gene fusion), which is typically sensitive to imatinib. </w:t>
            </w:r>
          </w:p>
          <w:p w:rsidR="00BE1A01" w:rsidRPr="000320B3" w:rsidRDefault="00FF7A1E" w:rsidP="006422D8">
            <w:pPr>
              <w:pStyle w:val="CLIN3BULLETPOINTS"/>
              <w:rPr>
                <w:rFonts w:cs="Calibri"/>
              </w:rPr>
            </w:pPr>
            <w:r w:rsidRPr="000320B3">
              <w:rPr>
                <w:rFonts w:cs="Calibri"/>
              </w:rPr>
              <w:t>Less commonly</w:t>
            </w:r>
            <w:r w:rsidR="00BE1A01" w:rsidRPr="000320B3">
              <w:rPr>
                <w:rFonts w:cs="Calibri"/>
              </w:rPr>
              <w:t xml:space="preserve"> gene rearrangements of </w:t>
            </w:r>
            <w:r w:rsidR="00BE1A01" w:rsidRPr="000320B3">
              <w:rPr>
                <w:rFonts w:cs="Calibri"/>
                <w:i/>
              </w:rPr>
              <w:t xml:space="preserve">PDGFRB </w:t>
            </w:r>
            <w:r w:rsidR="00BE1A01" w:rsidRPr="000320B3">
              <w:rPr>
                <w:rFonts w:cs="Calibri"/>
              </w:rPr>
              <w:t>or</w:t>
            </w:r>
            <w:r w:rsidR="00BE1A01" w:rsidRPr="000320B3">
              <w:rPr>
                <w:rFonts w:cs="Calibri"/>
                <w:i/>
              </w:rPr>
              <w:t xml:space="preserve"> FGFR1</w:t>
            </w:r>
            <w:r w:rsidR="00BE1A01" w:rsidRPr="000320B3">
              <w:rPr>
                <w:rFonts w:cs="Calibri"/>
              </w:rPr>
              <w:t>,</w:t>
            </w:r>
            <w:r w:rsidR="00BE1A01" w:rsidRPr="000320B3">
              <w:rPr>
                <w:rFonts w:cs="Calibri"/>
                <w:i/>
              </w:rPr>
              <w:t xml:space="preserve"> </w:t>
            </w:r>
            <w:r w:rsidR="00BE1A01" w:rsidRPr="000320B3">
              <w:rPr>
                <w:rFonts w:cs="Calibri"/>
              </w:rPr>
              <w:t xml:space="preserve">as well as </w:t>
            </w:r>
            <w:r w:rsidR="00BE1A01" w:rsidRPr="000320B3">
              <w:rPr>
                <w:rFonts w:cs="Calibri"/>
                <w:i/>
              </w:rPr>
              <w:t>PCM1-JAK2</w:t>
            </w:r>
            <w:r w:rsidR="00BE1A01" w:rsidRPr="000320B3">
              <w:rPr>
                <w:rFonts w:cs="Calibri"/>
              </w:rPr>
              <w:t>,</w:t>
            </w:r>
            <w:r w:rsidR="00BE1A01" w:rsidRPr="000320B3">
              <w:rPr>
                <w:rFonts w:cs="Calibri"/>
                <w:i/>
              </w:rPr>
              <w:t xml:space="preserve"> </w:t>
            </w:r>
            <w:r w:rsidR="00BE1A01" w:rsidRPr="000320B3">
              <w:rPr>
                <w:rFonts w:cs="Calibri"/>
                <w:i/>
                <w:iCs/>
              </w:rPr>
              <w:t xml:space="preserve">ETV6-JAK2 </w:t>
            </w:r>
            <w:r w:rsidR="00BE1A01" w:rsidRPr="000320B3">
              <w:rPr>
                <w:rFonts w:cs="Calibri"/>
              </w:rPr>
              <w:t xml:space="preserve">or </w:t>
            </w:r>
            <w:r w:rsidR="00BE1A01" w:rsidRPr="000320B3">
              <w:rPr>
                <w:rFonts w:cs="Calibri"/>
                <w:i/>
                <w:iCs/>
              </w:rPr>
              <w:t>BCR-JAK2</w:t>
            </w:r>
            <w:r w:rsidR="00BE1A01" w:rsidRPr="000320B3">
              <w:rPr>
                <w:rFonts w:cs="Calibri"/>
              </w:rPr>
              <w:t xml:space="preserve"> and more rarely mutations, result in aberrant expression of a tyrosine kinase and frequently, but not always eosinophilia</w:t>
            </w:r>
            <w:r w:rsidR="00BE1A01" w:rsidRPr="000320B3">
              <w:rPr>
                <w:rFonts w:cs="Calibri"/>
              </w:rPr>
              <w:fldChar w:fldCharType="begin"/>
            </w:r>
            <w:r w:rsidR="00BE1A01" w:rsidRPr="000320B3">
              <w:rPr>
                <w:rFonts w:cs="Calibri"/>
              </w:rPr>
              <w:instrText xml:space="preserve"> ADDIN EN.CITE &lt;EndNote&gt;&lt;Cite&gt;&lt;Author&gt;Swerdlow SH&lt;/Author&gt;&lt;Year&gt;2017&lt;/Year&gt;&lt;RecNum&gt;2679&lt;/RecNum&gt;&lt;DisplayText&gt;&lt;style face="superscript"&gt;3&lt;/style&gt;&lt;/DisplayText&gt;&lt;record&gt;&lt;rec-number&gt;2679&lt;/rec-number&gt;&lt;foreign-keys&gt;&lt;key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 SH, Campo E, Harris NL, Jaffe ES, Pileri SA, Stein H, Thiele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BE1A01" w:rsidRPr="000320B3">
              <w:rPr>
                <w:rFonts w:cs="Calibri"/>
              </w:rPr>
              <w:fldChar w:fldCharType="separate"/>
            </w:r>
            <w:r w:rsidR="00BE1A01" w:rsidRPr="000320B3">
              <w:rPr>
                <w:rFonts w:cs="Calibri"/>
                <w:vertAlign w:val="superscript"/>
              </w:rPr>
              <w:t>3</w:t>
            </w:r>
            <w:r w:rsidR="00BE1A01" w:rsidRPr="000320B3">
              <w:rPr>
                <w:rFonts w:cs="Calibri"/>
              </w:rPr>
              <w:fldChar w:fldCharType="end"/>
            </w:r>
            <w:r w:rsidR="00BE1A01" w:rsidRPr="000320B3">
              <w:rPr>
                <w:rFonts w:cs="Calibri"/>
              </w:rPr>
              <w:t>. These rearrangements may be detected by cytogenetics, FISH and/or RT-PCR.</w:t>
            </w:r>
          </w:p>
          <w:p w:rsidR="00BE1A01" w:rsidRPr="000320B3" w:rsidRDefault="00BE1A01" w:rsidP="006422D8">
            <w:pPr>
              <w:pStyle w:val="CLIN3BULLETPOINTS"/>
              <w:rPr>
                <w:rFonts w:cs="Calibri"/>
              </w:rPr>
            </w:pPr>
            <w:r w:rsidRPr="000320B3">
              <w:rPr>
                <w:rFonts w:cs="Calibri"/>
              </w:rPr>
              <w:t xml:space="preserve">Eosinophilia may be associated with both </w:t>
            </w:r>
            <w:r w:rsidR="00FF7A1E" w:rsidRPr="000320B3">
              <w:rPr>
                <w:rFonts w:cs="Calibri"/>
              </w:rPr>
              <w:t xml:space="preserve">myeloid </w:t>
            </w:r>
            <w:r w:rsidRPr="000320B3">
              <w:rPr>
                <w:rFonts w:cs="Calibri"/>
              </w:rPr>
              <w:t xml:space="preserve">and </w:t>
            </w:r>
            <w:r w:rsidR="00FF7A1E" w:rsidRPr="000320B3">
              <w:rPr>
                <w:rFonts w:cs="Calibri"/>
              </w:rPr>
              <w:t>lymphoid</w:t>
            </w:r>
            <w:r w:rsidRPr="000320B3">
              <w:rPr>
                <w:rFonts w:cs="Calibri"/>
              </w:rPr>
              <w:t xml:space="preserve"> neoplasms. In the appropriate clinicopathological context, consider testing for </w:t>
            </w:r>
            <w:r w:rsidRPr="000320B3">
              <w:rPr>
                <w:rFonts w:cs="Calibri"/>
                <w:i/>
              </w:rPr>
              <w:t xml:space="preserve">BCR-ABL1 </w:t>
            </w:r>
            <w:r w:rsidRPr="000320B3">
              <w:rPr>
                <w:rFonts w:cs="Calibri"/>
              </w:rPr>
              <w:t xml:space="preserve">(CML), </w:t>
            </w:r>
            <w:r w:rsidRPr="000320B3">
              <w:rPr>
                <w:rFonts w:cs="Calibri"/>
                <w:i/>
              </w:rPr>
              <w:t xml:space="preserve">JAK2/CALR/MPL </w:t>
            </w:r>
            <w:r w:rsidRPr="000320B3">
              <w:rPr>
                <w:rFonts w:cs="Calibri"/>
              </w:rPr>
              <w:t xml:space="preserve">(classic MPN), </w:t>
            </w:r>
            <w:r w:rsidRPr="000320B3">
              <w:rPr>
                <w:rFonts w:cs="Calibri"/>
                <w:i/>
              </w:rPr>
              <w:t xml:space="preserve">KIT </w:t>
            </w:r>
            <w:r w:rsidRPr="000320B3">
              <w:rPr>
                <w:rFonts w:cs="Calibri"/>
              </w:rPr>
              <w:t>(systemic mastocytosis), t(8;21) or inv(16) (AML) or another clonal marker (chronic eosinophilic leukaemia).</w:t>
            </w:r>
          </w:p>
          <w:p w:rsidR="00BE1A01" w:rsidRPr="000320B3" w:rsidRDefault="00BE1A01" w:rsidP="006422D8">
            <w:pPr>
              <w:pStyle w:val="CLIN3BULLETPOINTS"/>
              <w:rPr>
                <w:rFonts w:cs="Calibri"/>
              </w:rPr>
            </w:pPr>
            <w:r w:rsidRPr="000320B3">
              <w:rPr>
                <w:rFonts w:cs="Calibri"/>
              </w:rPr>
              <w:t>While somatic mutation detection is one of the diagnostic criteria for chronic eosinophilic leukaem</w:t>
            </w:r>
            <w:r w:rsidR="007A0F2F">
              <w:rPr>
                <w:rFonts w:cs="Calibri"/>
              </w:rPr>
              <w:t>ia, NOS, it is important</w:t>
            </w:r>
            <w:r w:rsidRPr="000320B3">
              <w:rPr>
                <w:rFonts w:cs="Calibri"/>
              </w:rPr>
              <w:t xml:space="preserve"> to exclude all possible reactive causes of eosinophilia before making this diagnosis as many myeloid mutations are also observed in age-related clonal haematopoiesis</w:t>
            </w:r>
            <w:r w:rsidRPr="000320B3">
              <w:rPr>
                <w:rFonts w:cs="Calibri"/>
                <w:vertAlign w:val="superscript"/>
              </w:rPr>
              <w:fldChar w:fldCharType="begin">
                <w:fldData xml:space="preserve">PEVuZE5vdGU+PENpdGU+PEF1dGhvcj5Td2VyZGxvdyBTSDwvQXV0aG9yPjxZZWFyPjIwMTc8L1ll
YXI+PFJlY051bT4yNjc5PC9SZWNOdW0+PERpc3BsYXlUZXh0PjxzdHlsZSBmYWNlPSJzdXBlcnNj
cmlwdCI+Myw0PC9zdHlsZT48L0Rpc3BsYXlUZXh0PjxyZWNvcmQ+PHJlYy1udW1iZXI+MjY3OTwv
cmVjLW51bWJlcj48Zm9yZWlnbi1rZXlzPjxrZXkgYXBwPSJFTiIgZGItaWQ9IjV3ZXAyczVzZncy
ZXQ2ZXZydHpwMDkyYnJ0ejJzMGQyMHN2dyIgdGltZXN0YW1wPSIxNjEzMDAzMDExIiBndWlkPSI2
ODA4ZTQzNC02NTY0LTRiMmYtOWE1Yy0xN2YzZDVkYTUzYWIiPjI2Nzk8L2tleT48L2ZvcmVpZ24t
a2V5cz48cmVmLXR5cGUgbmFtZT0iQm9vayI+NjwvcmVmLXR5cGU+PGNvbnRyaWJ1dG9ycz48YXV0
aG9ycz48YXV0aG9yPlN3ZXJkbG93IFNILCBDYW1wbyBFLCBIYXJyaXMgTkwsIEphZmZlIEVTLCBQ
aWxlcmkgU0EsIFN0ZWluIEgsIFRoaWVsZSBKPC9hdXRob3I+PC9hdXRob3JzPjwvY29udHJpYnV0
b3JzPjx0aXRsZXM+PHRpdGxlPldITyBDbGFzc2lmaWNhdGlvbiBvZiBUdW1vdXJzIG9mIEhhZW1h
dG9wb2lldGljIGFuZCBMeW1waG9pZCBUaXNzdWVzIChyZXZpc2VkIDR0aCBlZGl0aW9uKTwvdGl0
bGU+PC90aXRsZXM+PHZvbHVtZT4yPC92b2x1bWU+PGRhdGVzPjx5ZWFyPjIwMTc8L3llYXI+PC9k
YXRlcz48cHViLWxvY2F0aW9uPkx5b248L3B1Yi1sb2NhdGlvbj48cHVibGlzaGVyPklBUkM8L3B1
Ymxpc2hlcj48dXJscz48L3VybHM+PC9yZWNvcmQ+PC9DaXRlPjxDaXRlPjxBdXRob3I+SmFpc3dh
bDwvQXV0aG9yPjxZZWFyPjIwMTQ8L1llYXI+PFJlY051bT4zMTM5PC9SZWNOdW0+PHJlY29yZD48
cmVjLW51bWJlcj4zMTM5PC9yZWMtbnVtYmVyPjxmb3JlaWduLWtleXM+PGtleSBhcHA9IkVOIiBk
Yi1pZD0ieDJmZjV4eGVwdzVmdHNlcDk1anZydHhkOXBlZjI5emR6ZTkyIiB0aW1lc3RhbXA9IjE1
MjQwMzI1MTAiPjMxMzk8L2tleT48a2V5IGFwcD0iRU5XZWIiIGRiLWlkPSIiPjA8L2tleT48L2Zv
cmVpZ24ta2V5cz48cmVmLXR5cGUgbmFtZT0iSm91cm5hbCBBcnRpY2xlIj4xNzwvcmVmLXR5cGU+
PGNvbnRyaWJ1dG9ycz48YXV0aG9ycz48YXV0aG9yPkphaXN3YWwsIFMuPC9hdXRob3I+PGF1dGhv
cj5Gb250YW5pbGxhcywgUC48L2F1dGhvcj48YXV0aG9yPkZsYW5uaWNrLCBKLjwvYXV0aG9yPjxh
dXRob3I+TWFubmluZywgQS48L2F1dGhvcj48YXV0aG9yPkdyYXVtYW4sIFAuIFYuPC9hdXRob3I+
PGF1dGhvcj5NYXIsIEIuIEcuPC9hdXRob3I+PGF1dGhvcj5MaW5kc2xleSwgUi4gQy48L2F1dGhv
cj48YXV0aG9yPk1lcm1lbCwgQy4gSC48L2F1dGhvcj48YXV0aG9yPkJ1cnR0LCBOLjwvYXV0aG9y
PjxhdXRob3I+Q2hhdmV6LCBBLjwvYXV0aG9yPjxhdXRob3I+SGlnZ2lucywgSi4gTS48L2F1dGhv
cj48YXV0aG9yPk1vbHRjaGFub3YsIFYuPC9hdXRob3I+PGF1dGhvcj5LdW8sIEYuIEMuPC9hdXRo
b3I+PGF1dGhvcj5LbHVrLCBNLiBKLjwvYXV0aG9yPjxhdXRob3I+SGVuZGVyc29uLCBCLjwvYXV0
aG9yPjxhdXRob3I+S2lubnVuZW4sIEwuPC9hdXRob3I+PGF1dGhvcj5Lb2lzdGluZW4sIEguIEEu
PC9hdXRob3I+PGF1dGhvcj5MYWRlbnZhbGwsIEMuPC9hdXRob3I+PGF1dGhvcj5HZXR6LCBHLjwv
YXV0aG9yPjxhdXRob3I+Q29ycmVhLCBBLjwvYXV0aG9yPjxhdXRob3I+QmFuYWhhbiwgQi4gRi48
L2F1dGhvcj48YXV0aG9yPkdhYnJpZWwsIFMuPC9hdXRob3I+PGF1dGhvcj5LYXRoaXJlc2FuLCBT
LjwvYXV0aG9yPjxhdXRob3I+U3RyaW5naGFtLCBILiBNLjwvYXV0aG9yPjxhdXRob3I+TWNDYXJ0
aHksIE0uIEkuPC9hdXRob3I+PGF1dGhvcj5Cb2VobmtlLCBNLjwvYXV0aG9yPjxhdXRob3I+VHVv
bWlsZWh0bywgSi48L2F1dGhvcj48YXV0aG9yPkhhaW1hbiwgQy48L2F1dGhvcj48YXV0aG9yPkdy
b29wLCBMLjwvYXV0aG9yPjxhdXRob3I+QXR6bW9uLCBHLjwvYXV0aG9yPjxhdXRob3I+V2lsc29u
LCBKLiBHLjwvYXV0aG9yPjxhdXRob3I+TmV1YmVyZywgRC48L2F1dGhvcj48YXV0aG9yPkFsdHNo
dWxlciwgRC48L2F1dGhvcj48YXV0aG9yPkViZXJ0LCBCLiBMLjwvYXV0aG9yPjwvYXV0aG9ycz48
L2NvbnRyaWJ1dG9ycz48YXV0aC1hZGRyZXNzPlRoZSBhdXRob3JzJmFwb3M7IGFmZmlsaWF0aW9u
cyBhcmUgbGlzdGVkIGluIHRoZSBBcHBlbmRpeC48L2F1dGgtYWRkcmVzcz48dGl0bGVzPjx0aXRs
ZT5BZ2UtcmVsYXRlZCBjbG9uYWwgaGVtYXRvcG9pZXNpcyBhc3NvY2lhdGVkIHdpdGggYWR2ZXJz
ZSBvdXRjb21lczwvdGl0bGU+PHNlY29uZGFyeS10aXRsZT5OIEVuZ2wgSiBNZWQ8L3NlY29uZGFy
eS10aXRsZT48L3RpdGxlcz48cGVyaW9kaWNhbD48ZnVsbC10aXRsZT5OIEVuZ2wgSiBNZWQ8L2Z1
bGwtdGl0bGU+PGFiYnItMT5UaGUgTmV3IEVuZ2xhbmQgam91cm5hbCBvZiBtZWRpY2luZTwvYWJi
ci0xPjwvcGVyaW9kaWNhbD48cGFnZXM+MjQ4OC05ODwvcGFnZXM+PHZvbHVtZT4zNzE8L3ZvbHVt
ZT48bnVtYmVyPjI2PC9udW1iZXI+PGtleXdvcmRzPjxrZXl3b3JkPkFkdWx0PC9rZXl3b3JkPjxr
ZXl3b3JkPkFnZSBGYWN0b3JzPC9rZXl3b3JkPjxrZXl3b3JkPkFnZWQ8L2tleXdvcmQ+PGtleXdv
cmQ+QWdlZCwgODAgYW5kIG92ZXI8L2tleXdvcmQ+PGtleXdvcmQ+KkJsb29kPC9rZXl3b3JkPjxr
ZXl3b3JkPkNlbGwgVHJhbnNmb3JtYXRpb24sIE5lb3BsYXN0aWMvKmdlbmV0aWNzPC9rZXl3b3Jk
PjxrZXl3b3JkPkNsb25lIENlbGxzPC9rZXl3b3JkPjxrZXl3b3JkPkROQSBNdXRhdGlvbmFsIEFu
YWx5c2lzPC9rZXl3b3JkPjxrZXl3b3JkPkV4b21lPC9rZXl3b3JkPjxrZXl3b3JkPkhlbWF0b2xv
Z2ljIE5lb3BsYXNtcy8qZ2VuZXRpY3M8L2tleXdvcmQ+PGtleXdvcmQ+KkhlbWF0b3BvaWVzaXM8
L2tleXdvcmQ+PGtleXdvcmQ+SGVtYXRvcG9pZXRpYyBTdGVtIENlbGxzLypwaHlzaW9sb2d5PC9r
ZXl3b3JkPjxrZXl3b3JkPkh1bWFuczwva2V5d29yZD48a2V5d29yZD5NaWRkbGUgQWdlZDwva2V5
d29yZD48a2V5d29yZD4qTXV0YXRpb248L2tleXdvcmQ+PGtleXdvcmQ+UmlzayBGYWN0b3JzPC9r
ZXl3b3JkPjxrZXl3b3JkPllvdW5nIEFkdWx0PC9rZXl3b3JkPjwva2V5d29yZHM+PGRhdGVzPjx5
ZWFyPjIwMTQ8L3llYXI+PHB1Yi1kYXRlcz48ZGF0ZT5EZWMgMjU8L2RhdGU+PC9wdWItZGF0ZXM+
PC9kYXRlcz48aXNibj4xNTMzLTQ0MDYgKEVsZWN0cm9uaWMpJiN4RDswMDI4LTQ3OTMgKExpbmtp
bmcpPC9pc2JuPjxhY2Nlc3Npb24tbnVtPjI1NDI2ODM3PC9hY2Nlc3Npb24tbnVtPjx1cmxzPjxy
ZWxhdGVkLXVybHM+PHVybD5odHRwOi8vd3d3Lm5jYmkubmxtLm5paC5nb3YvcHVibWVkLzI1NDI2
ODM3PC91cmw+PHVybD5odHRwczovL3d3dy5uZWptLm9yZy9kb2kvcGRmLzEwLjEwNTYvTkVKTW9h
MTQwODYxNz9hcnRpY2xlVG9vbHM9dHJ1ZTwvdXJsPjwvcmVsYXRlZC11cmxzPjwvdXJscz48Y3Vz
dG9tMj5QTUM0MzA2NjY5PC9jdXN0b20yPjxlbGVjdHJvbmljLXJlc291cmNlLW51bT4xMC4xMDU2
L05FSk1vYTE0MDg2MTc8L2VsZWN0cm9uaWMtcmVzb3VyY2UtbnVtPjwvcmVjb3JkPjwvQ2l0ZT48
L0VuZE5vdGU+
</w:fldData>
              </w:fldChar>
            </w:r>
            <w:r w:rsidR="00202C5A" w:rsidRPr="000320B3">
              <w:rPr>
                <w:rFonts w:cs="Calibri"/>
                <w:vertAlign w:val="superscript"/>
              </w:rPr>
              <w:instrText xml:space="preserve"> ADDIN EN.CITE </w:instrText>
            </w:r>
            <w:r w:rsidR="00202C5A" w:rsidRPr="000320B3">
              <w:rPr>
                <w:rFonts w:cs="Calibri"/>
                <w:vertAlign w:val="superscript"/>
              </w:rPr>
              <w:fldChar w:fldCharType="begin">
                <w:fldData xml:space="preserve">PEVuZE5vdGU+PENpdGU+PEF1dGhvcj5Td2VyZGxvdyBTSDwvQXV0aG9yPjxZZWFyPjIwMTc8L1ll
YXI+PFJlY051bT4yNjc5PC9SZWNOdW0+PERpc3BsYXlUZXh0PjxzdHlsZSBmYWNlPSJzdXBlcnNj
cmlwdCI+Myw0PC9zdHlsZT48L0Rpc3BsYXlUZXh0PjxyZWNvcmQ+PHJlYy1udW1iZXI+MjY3OTwv
cmVjLW51bWJlcj48Zm9yZWlnbi1rZXlzPjxrZXkgYXBwPSJFTiIgZGItaWQ9IjV3ZXAyczVzZncy
ZXQ2ZXZydHpwMDkyYnJ0ejJzMGQyMHN2dyIgdGltZXN0YW1wPSIxNjEzMDAzMDExIiBndWlkPSI2
ODA4ZTQzNC02NTY0LTRiMmYtOWE1Yy0xN2YzZDVkYTUzYWIiPjI2Nzk8L2tleT48L2ZvcmVpZ24t
a2V5cz48cmVmLXR5cGUgbmFtZT0iQm9vayI+NjwvcmVmLXR5cGU+PGNvbnRyaWJ1dG9ycz48YXV0
aG9ycz48YXV0aG9yPlN3ZXJkbG93IFNILCBDYW1wbyBFLCBIYXJyaXMgTkwsIEphZmZlIEVTLCBQ
aWxlcmkgU0EsIFN0ZWluIEgsIFRoaWVsZSBKPC9hdXRob3I+PC9hdXRob3JzPjwvY29udHJpYnV0
b3JzPjx0aXRsZXM+PHRpdGxlPldITyBDbGFzc2lmaWNhdGlvbiBvZiBUdW1vdXJzIG9mIEhhZW1h
dG9wb2lldGljIGFuZCBMeW1waG9pZCBUaXNzdWVzIChyZXZpc2VkIDR0aCBlZGl0aW9uKTwvdGl0
bGU+PC90aXRsZXM+PHZvbHVtZT4yPC92b2x1bWU+PGRhdGVzPjx5ZWFyPjIwMTc8L3llYXI+PC9k
YXRlcz48cHViLWxvY2F0aW9uPkx5b248L3B1Yi1sb2NhdGlvbj48cHVibGlzaGVyPklBUkM8L3B1
Ymxpc2hlcj48dXJscz48L3VybHM+PC9yZWNvcmQ+PC9DaXRlPjxDaXRlPjxBdXRob3I+SmFpc3dh
bDwvQXV0aG9yPjxZZWFyPjIwMTQ8L1llYXI+PFJlY051bT4zMTM5PC9SZWNOdW0+PHJlY29yZD48
cmVjLW51bWJlcj4zMTM5PC9yZWMtbnVtYmVyPjxmb3JlaWduLWtleXM+PGtleSBhcHA9IkVOIiBk
Yi1pZD0ieDJmZjV4eGVwdzVmdHNlcDk1anZydHhkOXBlZjI5emR6ZTkyIiB0aW1lc3RhbXA9IjE1
MjQwMzI1MTAiPjMxMzk8L2tleT48a2V5IGFwcD0iRU5XZWIiIGRiLWlkPSIiPjA8L2tleT48L2Zv
cmVpZ24ta2V5cz48cmVmLXR5cGUgbmFtZT0iSm91cm5hbCBBcnRpY2xlIj4xNzwvcmVmLXR5cGU+
PGNvbnRyaWJ1dG9ycz48YXV0aG9ycz48YXV0aG9yPkphaXN3YWwsIFMuPC9hdXRob3I+PGF1dGhv
cj5Gb250YW5pbGxhcywgUC48L2F1dGhvcj48YXV0aG9yPkZsYW5uaWNrLCBKLjwvYXV0aG9yPjxh
dXRob3I+TWFubmluZywgQS48L2F1dGhvcj48YXV0aG9yPkdyYXVtYW4sIFAuIFYuPC9hdXRob3I+
PGF1dGhvcj5NYXIsIEIuIEcuPC9hdXRob3I+PGF1dGhvcj5MaW5kc2xleSwgUi4gQy48L2F1dGhv
cj48YXV0aG9yPk1lcm1lbCwgQy4gSC48L2F1dGhvcj48YXV0aG9yPkJ1cnR0LCBOLjwvYXV0aG9y
PjxhdXRob3I+Q2hhdmV6LCBBLjwvYXV0aG9yPjxhdXRob3I+SGlnZ2lucywgSi4gTS48L2F1dGhv
cj48YXV0aG9yPk1vbHRjaGFub3YsIFYuPC9hdXRob3I+PGF1dGhvcj5LdW8sIEYuIEMuPC9hdXRo
b3I+PGF1dGhvcj5LbHVrLCBNLiBKLjwvYXV0aG9yPjxhdXRob3I+SGVuZGVyc29uLCBCLjwvYXV0
aG9yPjxhdXRob3I+S2lubnVuZW4sIEwuPC9hdXRob3I+PGF1dGhvcj5Lb2lzdGluZW4sIEguIEEu
PC9hdXRob3I+PGF1dGhvcj5MYWRlbnZhbGwsIEMuPC9hdXRob3I+PGF1dGhvcj5HZXR6LCBHLjwv
YXV0aG9yPjxhdXRob3I+Q29ycmVhLCBBLjwvYXV0aG9yPjxhdXRob3I+QmFuYWhhbiwgQi4gRi48
L2F1dGhvcj48YXV0aG9yPkdhYnJpZWwsIFMuPC9hdXRob3I+PGF1dGhvcj5LYXRoaXJlc2FuLCBT
LjwvYXV0aG9yPjxhdXRob3I+U3RyaW5naGFtLCBILiBNLjwvYXV0aG9yPjxhdXRob3I+TWNDYXJ0
aHksIE0uIEkuPC9hdXRob3I+PGF1dGhvcj5Cb2VobmtlLCBNLjwvYXV0aG9yPjxhdXRob3I+VHVv
bWlsZWh0bywgSi48L2F1dGhvcj48YXV0aG9yPkhhaW1hbiwgQy48L2F1dGhvcj48YXV0aG9yPkdy
b29wLCBMLjwvYXV0aG9yPjxhdXRob3I+QXR6bW9uLCBHLjwvYXV0aG9yPjxhdXRob3I+V2lsc29u
LCBKLiBHLjwvYXV0aG9yPjxhdXRob3I+TmV1YmVyZywgRC48L2F1dGhvcj48YXV0aG9yPkFsdHNo
dWxlciwgRC48L2F1dGhvcj48YXV0aG9yPkViZXJ0LCBCLiBMLjwvYXV0aG9yPjwvYXV0aG9ycz48
L2NvbnRyaWJ1dG9ycz48YXV0aC1hZGRyZXNzPlRoZSBhdXRob3JzJmFwb3M7IGFmZmlsaWF0aW9u
cyBhcmUgbGlzdGVkIGluIHRoZSBBcHBlbmRpeC48L2F1dGgtYWRkcmVzcz48dGl0bGVzPjx0aXRs
ZT5BZ2UtcmVsYXRlZCBjbG9uYWwgaGVtYXRvcG9pZXNpcyBhc3NvY2lhdGVkIHdpdGggYWR2ZXJz
ZSBvdXRjb21lczwvdGl0bGU+PHNlY29uZGFyeS10aXRsZT5OIEVuZ2wgSiBNZWQ8L3NlY29uZGFy
eS10aXRsZT48L3RpdGxlcz48cGVyaW9kaWNhbD48ZnVsbC10aXRsZT5OIEVuZ2wgSiBNZWQ8L2Z1
bGwtdGl0bGU+PGFiYnItMT5UaGUgTmV3IEVuZ2xhbmQgam91cm5hbCBvZiBtZWRpY2luZTwvYWJi
ci0xPjwvcGVyaW9kaWNhbD48cGFnZXM+MjQ4OC05ODwvcGFnZXM+PHZvbHVtZT4zNzE8L3ZvbHVt
ZT48bnVtYmVyPjI2PC9udW1iZXI+PGtleXdvcmRzPjxrZXl3b3JkPkFkdWx0PC9rZXl3b3JkPjxr
ZXl3b3JkPkFnZSBGYWN0b3JzPC9rZXl3b3JkPjxrZXl3b3JkPkFnZWQ8L2tleXdvcmQ+PGtleXdv
cmQ+QWdlZCwgODAgYW5kIG92ZXI8L2tleXdvcmQ+PGtleXdvcmQ+KkJsb29kPC9rZXl3b3JkPjxr
ZXl3b3JkPkNlbGwgVHJhbnNmb3JtYXRpb24sIE5lb3BsYXN0aWMvKmdlbmV0aWNzPC9rZXl3b3Jk
PjxrZXl3b3JkPkNsb25lIENlbGxzPC9rZXl3b3JkPjxrZXl3b3JkPkROQSBNdXRhdGlvbmFsIEFu
YWx5c2lzPC9rZXl3b3JkPjxrZXl3b3JkPkV4b21lPC9rZXl3b3JkPjxrZXl3b3JkPkhlbWF0b2xv
Z2ljIE5lb3BsYXNtcy8qZ2VuZXRpY3M8L2tleXdvcmQ+PGtleXdvcmQ+KkhlbWF0b3BvaWVzaXM8
L2tleXdvcmQ+PGtleXdvcmQ+SGVtYXRvcG9pZXRpYyBTdGVtIENlbGxzLypwaHlzaW9sb2d5PC9r
ZXl3b3JkPjxrZXl3b3JkPkh1bWFuczwva2V5d29yZD48a2V5d29yZD5NaWRkbGUgQWdlZDwva2V5
d29yZD48a2V5d29yZD4qTXV0YXRpb248L2tleXdvcmQ+PGtleXdvcmQ+UmlzayBGYWN0b3JzPC9r
ZXl3b3JkPjxrZXl3b3JkPllvdW5nIEFkdWx0PC9rZXl3b3JkPjwva2V5d29yZHM+PGRhdGVzPjx5
ZWFyPjIwMTQ8L3llYXI+PHB1Yi1kYXRlcz48ZGF0ZT5EZWMgMjU8L2RhdGU+PC9wdWItZGF0ZXM+
PC9kYXRlcz48aXNibj4xNTMzLTQ0MDYgKEVsZWN0cm9uaWMpJiN4RDswMDI4LTQ3OTMgKExpbmtp
bmcpPC9pc2JuPjxhY2Nlc3Npb24tbnVtPjI1NDI2ODM3PC9hY2Nlc3Npb24tbnVtPjx1cmxzPjxy
ZWxhdGVkLXVybHM+PHVybD5odHRwOi8vd3d3Lm5jYmkubmxtLm5paC5nb3YvcHVibWVkLzI1NDI2
ODM3PC91cmw+PHVybD5odHRwczovL3d3dy5uZWptLm9yZy9kb2kvcGRmLzEwLjEwNTYvTkVKTW9h
MTQwODYxNz9hcnRpY2xlVG9vbHM9dHJ1ZTwvdXJsPjwvcmVsYXRlZC11cmxzPjwvdXJscz48Y3Vz
dG9tMj5QTUM0MzA2NjY5PC9jdXN0b20yPjxlbGVjdHJvbmljLXJlc291cmNlLW51bT4xMC4xMDU2
L05FSk1vYTE0MDg2MTc8L2VsZWN0cm9uaWMtcmVzb3VyY2UtbnVtPjwvcmVjb3JkPjwvQ2l0ZT48
L0VuZE5vdGU+
</w:fldData>
              </w:fldChar>
            </w:r>
            <w:r w:rsidR="00202C5A" w:rsidRPr="000320B3">
              <w:rPr>
                <w:rFonts w:cs="Calibri"/>
                <w:vertAlign w:val="superscript"/>
              </w:rPr>
              <w:instrText xml:space="preserve"> ADDIN EN.CITE.DATA </w:instrText>
            </w:r>
            <w:r w:rsidR="00202C5A" w:rsidRPr="000320B3">
              <w:rPr>
                <w:rFonts w:cs="Calibri"/>
                <w:vertAlign w:val="superscript"/>
              </w:rPr>
            </w:r>
            <w:r w:rsidR="00202C5A" w:rsidRPr="000320B3">
              <w:rPr>
                <w:rFonts w:cs="Calibri"/>
                <w:vertAlign w:val="superscript"/>
              </w:rPr>
              <w:fldChar w:fldCharType="end"/>
            </w:r>
            <w:r w:rsidRPr="000320B3">
              <w:rPr>
                <w:rFonts w:cs="Calibri"/>
                <w:vertAlign w:val="superscript"/>
              </w:rPr>
            </w:r>
            <w:r w:rsidRPr="000320B3">
              <w:rPr>
                <w:rFonts w:cs="Calibri"/>
                <w:vertAlign w:val="superscript"/>
              </w:rPr>
              <w:fldChar w:fldCharType="separate"/>
            </w:r>
            <w:r w:rsidRPr="000320B3">
              <w:rPr>
                <w:rFonts w:cs="Calibri"/>
                <w:vertAlign w:val="superscript"/>
              </w:rPr>
              <w:t>3,4</w:t>
            </w:r>
            <w:r w:rsidRPr="000320B3">
              <w:rPr>
                <w:rFonts w:cs="Calibri"/>
                <w:vertAlign w:val="superscript"/>
              </w:rPr>
              <w:fldChar w:fldCharType="end"/>
            </w:r>
            <w:r w:rsidRPr="000320B3">
              <w:rPr>
                <w:rFonts w:cs="Calibri"/>
              </w:rPr>
              <w:t xml:space="preserve">.  </w:t>
            </w:r>
          </w:p>
          <w:p w:rsidR="00BE1A01" w:rsidRPr="000320B3" w:rsidRDefault="00BE1A01" w:rsidP="00BE1A01">
            <w:pPr>
              <w:pStyle w:val="CLIN2SUBHEADINGS"/>
              <w:rPr>
                <w:rFonts w:cs="Calibri"/>
              </w:rPr>
            </w:pPr>
            <w:r w:rsidRPr="000320B3">
              <w:rPr>
                <w:rFonts w:cs="Calibri"/>
              </w:rPr>
              <w:t>References</w:t>
            </w:r>
          </w:p>
          <w:p w:rsidR="00BE1A01" w:rsidRPr="000320B3" w:rsidRDefault="005140BA" w:rsidP="005140BA">
            <w:pPr>
              <w:pStyle w:val="CLIN4"/>
              <w:rPr>
                <w:rFonts w:cs="Calibri"/>
              </w:rPr>
            </w:pPr>
            <w:r w:rsidRPr="000320B3">
              <w:rPr>
                <w:rFonts w:cs="Calibri"/>
                <w:sz w:val="6"/>
                <w:szCs w:val="6"/>
              </w:rPr>
              <w:fldChar w:fldCharType="begin"/>
            </w:r>
            <w:r w:rsidRPr="000320B3">
              <w:rPr>
                <w:rFonts w:cs="Calibri"/>
                <w:sz w:val="6"/>
                <w:szCs w:val="6"/>
              </w:rPr>
              <w:instrText xml:space="preserve"> ADDIN EN.REFLIST </w:instrText>
            </w:r>
            <w:r w:rsidRPr="000320B3">
              <w:rPr>
                <w:rFonts w:cs="Calibri"/>
                <w:sz w:val="6"/>
                <w:szCs w:val="6"/>
              </w:rPr>
              <w:fldChar w:fldCharType="separate"/>
            </w:r>
            <w:r w:rsidRPr="000320B3">
              <w:rPr>
                <w:rFonts w:cs="Calibri"/>
                <w:b/>
              </w:rPr>
              <w:t>1.</w:t>
            </w:r>
            <w:r w:rsidRPr="000320B3">
              <w:rPr>
                <w:rFonts w:cs="Calibri"/>
              </w:rPr>
              <w:t xml:space="preserve"> Butt NM, et al. Guideline for the investigation and management of eosinophilia. </w:t>
            </w:r>
            <w:r w:rsidRPr="000320B3">
              <w:rPr>
                <w:rFonts w:cs="Calibri"/>
                <w:i/>
              </w:rPr>
              <w:t>British Journal of Haematology</w:t>
            </w:r>
            <w:r w:rsidRPr="000320B3">
              <w:rPr>
                <w:rFonts w:cs="Calibri"/>
              </w:rPr>
              <w:t xml:space="preserve"> 2017; </w:t>
            </w:r>
            <w:r w:rsidRPr="000320B3">
              <w:rPr>
                <w:rFonts w:cs="Calibri"/>
                <w:b/>
              </w:rPr>
              <w:t>176</w:t>
            </w:r>
            <w:r w:rsidRPr="000320B3">
              <w:rPr>
                <w:rFonts w:cs="Calibri"/>
              </w:rPr>
              <w:t xml:space="preserve">(4): 553-72.  </w:t>
            </w:r>
            <w:r w:rsidRPr="000320B3">
              <w:rPr>
                <w:rFonts w:cs="Calibri"/>
                <w:b/>
              </w:rPr>
              <w:t>2.</w:t>
            </w:r>
            <w:r w:rsidRPr="000320B3">
              <w:rPr>
                <w:rFonts w:cs="Calibri"/>
              </w:rPr>
              <w:t xml:space="preserve"> Klion A. Hypereosinophilic syndrome: approach to treatment in the era of precision medicine. </w:t>
            </w:r>
            <w:r w:rsidRPr="000320B3">
              <w:rPr>
                <w:rFonts w:cs="Calibri"/>
                <w:i/>
              </w:rPr>
              <w:t>Hematology Am Soc Hematol Educ Program</w:t>
            </w:r>
            <w:r w:rsidRPr="000320B3">
              <w:rPr>
                <w:rFonts w:cs="Calibri"/>
              </w:rPr>
              <w:t xml:space="preserve"> 2018; </w:t>
            </w:r>
            <w:r w:rsidRPr="000320B3">
              <w:rPr>
                <w:rFonts w:cs="Calibri"/>
                <w:b/>
              </w:rPr>
              <w:t>2018</w:t>
            </w:r>
            <w:r w:rsidRPr="000320B3">
              <w:rPr>
                <w:rFonts w:cs="Calibri"/>
              </w:rPr>
              <w:t xml:space="preserve">(1): 326-31.  </w:t>
            </w:r>
            <w:r w:rsidRPr="000320B3">
              <w:rPr>
                <w:rFonts w:cs="Calibri"/>
                <w:b/>
              </w:rPr>
              <w:t>3.</w:t>
            </w:r>
            <w:r w:rsidRPr="000320B3">
              <w:rPr>
                <w:rFonts w:cs="Calibri"/>
              </w:rPr>
              <w:t xml:space="preserve"> Swerdlow SH CE, Harris NL, Jaffe ES, Pileri SA, Stein H, Thiele J. WHO Classification of Tumours of Haematopoietic and Lymphoid Tissues (revised 4th edition). Lyon: IARC; 2017.  </w:t>
            </w:r>
            <w:r w:rsidRPr="000320B3">
              <w:rPr>
                <w:rFonts w:cs="Calibri"/>
                <w:b/>
              </w:rPr>
              <w:t>4.</w:t>
            </w:r>
            <w:r w:rsidRPr="000320B3">
              <w:rPr>
                <w:rFonts w:cs="Calibri"/>
              </w:rPr>
              <w:t xml:space="preserve"> Jaiswal S, et al. Age-related clonal hematopoiesis associated with adverse outcomes. </w:t>
            </w:r>
            <w:r w:rsidRPr="000320B3">
              <w:rPr>
                <w:rFonts w:cs="Calibri"/>
                <w:i/>
              </w:rPr>
              <w:t>N Engl J Med</w:t>
            </w:r>
            <w:r w:rsidRPr="000320B3">
              <w:rPr>
                <w:rFonts w:cs="Calibri"/>
              </w:rPr>
              <w:t xml:space="preserve"> 2014; </w:t>
            </w:r>
            <w:r w:rsidRPr="000320B3">
              <w:rPr>
                <w:rFonts w:cs="Calibri"/>
                <w:b/>
              </w:rPr>
              <w:t>371</w:t>
            </w:r>
            <w:r w:rsidRPr="000320B3">
              <w:rPr>
                <w:rFonts w:cs="Calibri"/>
              </w:rPr>
              <w:t xml:space="preserve">(26): 2488-98.  </w:t>
            </w:r>
            <w:r w:rsidRPr="000320B3"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:rsidR="005140BA" w:rsidRPr="000320B3" w:rsidRDefault="005140BA" w:rsidP="005140BA">
      <w:pPr>
        <w:rPr>
          <w:rFonts w:ascii="Calibri" w:hAnsi="Calibri" w:cs="Calibri"/>
          <w:noProof/>
          <w:sz w:val="6"/>
          <w:szCs w:val="6"/>
        </w:rPr>
      </w:pPr>
    </w:p>
    <w:sectPr w:rsidR="005140BA" w:rsidRPr="000320B3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6BE" w:rsidRDefault="0086782A">
      <w:pPr>
        <w:spacing w:after="0" w:line="240" w:lineRule="auto"/>
      </w:pPr>
      <w:r>
        <w:separator/>
      </w:r>
    </w:p>
  </w:endnote>
  <w:endnote w:type="continuationSeparator" w:id="0">
    <w:p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7E42FD5"/>
    <w:multiLevelType w:val="hybridMultilevel"/>
    <w:tmpl w:val="53CE83EA"/>
    <w:lvl w:ilvl="0" w:tplc="5EA20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first author only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2ff5xxepw5ftsep95jvrtxd9pef29zdze92&quot;&gt;NGSlibrary_backup&lt;record-ids&gt;&lt;item&gt;3139&lt;/item&gt;&lt;item&gt;5136&lt;/item&gt;&lt;/record-ids&gt;&lt;/item&gt;&lt;/Libraries&gt;"/>
  </w:docVars>
  <w:rsids>
    <w:rsidRoot w:val="00F166A0"/>
    <w:rsid w:val="000320B3"/>
    <w:rsid w:val="00056CFB"/>
    <w:rsid w:val="00072CED"/>
    <w:rsid w:val="000E668C"/>
    <w:rsid w:val="00171756"/>
    <w:rsid w:val="00202C5A"/>
    <w:rsid w:val="004F4058"/>
    <w:rsid w:val="005140BA"/>
    <w:rsid w:val="00537C24"/>
    <w:rsid w:val="005B783A"/>
    <w:rsid w:val="005B78C2"/>
    <w:rsid w:val="005E2AA9"/>
    <w:rsid w:val="006422D8"/>
    <w:rsid w:val="007A0F2F"/>
    <w:rsid w:val="0086782A"/>
    <w:rsid w:val="008F1D2C"/>
    <w:rsid w:val="00A2488A"/>
    <w:rsid w:val="00AF5D34"/>
    <w:rsid w:val="00BE1A01"/>
    <w:rsid w:val="00C266BE"/>
    <w:rsid w:val="00C84307"/>
    <w:rsid w:val="00D02B85"/>
    <w:rsid w:val="00E00165"/>
    <w:rsid w:val="00E13354"/>
    <w:rsid w:val="00E50A32"/>
    <w:rsid w:val="00E74528"/>
    <w:rsid w:val="00F166A0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113C1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0320B3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202C5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0320B3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202C5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E1A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A01"/>
    <w:pPr>
      <w:spacing w:after="0" w:line="240" w:lineRule="auto"/>
    </w:pPr>
    <w:rPr>
      <w:rFonts w:eastAsiaTheme="minorEastAsia"/>
      <w:sz w:val="20"/>
      <w:szCs w:val="20"/>
      <w:lang w:val="en-US" w:eastAsia="zh-TW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A01"/>
    <w:rPr>
      <w:rFonts w:eastAsiaTheme="minorEastAsia"/>
      <w:sz w:val="20"/>
      <w:szCs w:val="20"/>
      <w:lang w:val="en-US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A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0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7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C24"/>
  </w:style>
  <w:style w:type="paragraph" w:customStyle="1" w:styleId="EndNoteBibliographyTitle">
    <w:name w:val="EndNote Bibliography Title"/>
    <w:basedOn w:val="Normal"/>
    <w:link w:val="EndNoteBibliographyTitleChar"/>
    <w:rsid w:val="00202C5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4Char"/>
    <w:link w:val="EndNoteBibliographyTitle"/>
    <w:rsid w:val="00202C5A"/>
    <w:rPr>
      <w:rFonts w:ascii="Calibri" w:eastAsia="MS Mincho" w:hAnsi="Calibri" w:cs="Calibri"/>
      <w:noProof/>
      <w:sz w:val="1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Imogen Caldwell</cp:lastModifiedBy>
  <cp:revision>15</cp:revision>
  <dcterms:created xsi:type="dcterms:W3CDTF">2021-10-09T00:53:00Z</dcterms:created>
  <dcterms:modified xsi:type="dcterms:W3CDTF">2022-04-25T07:44:00Z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</Properties>
</file>