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1C6FD" w14:textId="77777777" w:rsidR="00F166A0" w:rsidRPr="00B219A4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B219A4" w14:paraId="59D83792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4AEBD138" w14:textId="62B99120" w:rsidR="00AF5D34" w:rsidRPr="00B219A4" w:rsidRDefault="00AF5D34" w:rsidP="00D02B85">
            <w:pPr>
              <w:pStyle w:val="CLIN1HEADING"/>
              <w:rPr>
                <w:rFonts w:cs="Calibri"/>
              </w:rPr>
            </w:pPr>
            <w:r w:rsidRPr="00B219A4">
              <w:rPr>
                <w:rFonts w:cs="Calibri"/>
              </w:rPr>
              <w:t xml:space="preserve">cLINICAL UTILITY OF </w:t>
            </w:r>
            <w:r w:rsidR="00E74528" w:rsidRPr="00B219A4">
              <w:rPr>
                <w:rFonts w:cs="Calibri"/>
              </w:rPr>
              <w:t>MOLECULAR</w:t>
            </w:r>
            <w:r w:rsidRPr="00B219A4">
              <w:rPr>
                <w:rFonts w:cs="Calibri"/>
              </w:rPr>
              <w:t xml:space="preserve"> TESTING IN </w:t>
            </w:r>
            <w:r w:rsidR="00F965A6" w:rsidRPr="00B219A4">
              <w:rPr>
                <w:rFonts w:cs="Calibri"/>
              </w:rPr>
              <w:br/>
            </w:r>
            <w:r w:rsidR="00303115" w:rsidRPr="00B219A4">
              <w:rPr>
                <w:rFonts w:cs="Calibri"/>
              </w:rPr>
              <w:t xml:space="preserve">THE </w:t>
            </w:r>
            <w:r w:rsidR="00EF4E19" w:rsidRPr="00B219A4">
              <w:rPr>
                <w:rFonts w:cs="Calibri"/>
              </w:rPr>
              <w:t>INVESTIGATION OF POSSIBLE</w:t>
            </w:r>
            <w:r w:rsidR="00286890" w:rsidRPr="00B219A4">
              <w:rPr>
                <w:rFonts w:cs="Calibri"/>
              </w:rPr>
              <w:t xml:space="preserve"> T-CELL LYMPHOMA</w:t>
            </w:r>
          </w:p>
          <w:p w14:paraId="74E67692" w14:textId="77777777" w:rsidR="00AF5D34" w:rsidRPr="00B219A4" w:rsidRDefault="00AF5D34" w:rsidP="00AF5D34">
            <w:pPr>
              <w:pStyle w:val="CLIN2SUBHEADINGS"/>
              <w:rPr>
                <w:rFonts w:cs="Calibri"/>
              </w:rPr>
            </w:pPr>
            <w:r w:rsidRPr="00B219A4">
              <w:rPr>
                <w:rFonts w:cs="Calibri"/>
              </w:rPr>
              <w:t>DIAGNOSTIC utility</w:t>
            </w:r>
          </w:p>
          <w:p w14:paraId="485FB367" w14:textId="468CE9E6" w:rsidR="00286890" w:rsidRPr="00B219A4" w:rsidRDefault="00286890" w:rsidP="007E426A">
            <w:pPr>
              <w:pStyle w:val="CLIN3BULLETPOINTS"/>
              <w:rPr>
                <w:rFonts w:cs="Calibri"/>
              </w:rPr>
            </w:pPr>
            <w:r w:rsidRPr="00B219A4">
              <w:rPr>
                <w:rFonts w:cs="Calibri"/>
              </w:rPr>
              <w:t>The differentiation of reactive and malignant T-cell processes can be difficult based on histological features alone</w:t>
            </w:r>
            <w:r w:rsidR="00303115" w:rsidRPr="00B219A4">
              <w:rPr>
                <w:rFonts w:cs="Calibri"/>
              </w:rPr>
              <w:t>.</w:t>
            </w:r>
          </w:p>
          <w:p w14:paraId="1A7253B5" w14:textId="1C61D043" w:rsidR="00286890" w:rsidRPr="00B219A4" w:rsidRDefault="00286890" w:rsidP="007E426A">
            <w:pPr>
              <w:pStyle w:val="CLIN3BULLETPOINTS"/>
              <w:rPr>
                <w:rFonts w:cs="Calibri"/>
              </w:rPr>
            </w:pPr>
            <w:r w:rsidRPr="00B219A4">
              <w:rPr>
                <w:rFonts w:cs="Calibri"/>
              </w:rPr>
              <w:t xml:space="preserve">Historically, T-cell receptor gene rearrangement studies have been performed however these generally lack </w:t>
            </w:r>
            <w:r w:rsidR="00EF4E19" w:rsidRPr="00B219A4">
              <w:rPr>
                <w:rFonts w:cs="Calibri"/>
              </w:rPr>
              <w:t xml:space="preserve">sufficient </w:t>
            </w:r>
            <w:r w:rsidRPr="00B219A4">
              <w:rPr>
                <w:rFonts w:cs="Calibri"/>
              </w:rPr>
              <w:t xml:space="preserve">sensitivity and specificity to </w:t>
            </w:r>
            <w:r w:rsidR="00EF4E19" w:rsidRPr="00B219A4">
              <w:rPr>
                <w:rFonts w:cs="Calibri"/>
              </w:rPr>
              <w:t xml:space="preserve">reliably </w:t>
            </w:r>
            <w:r w:rsidRPr="00B219A4">
              <w:rPr>
                <w:rFonts w:cs="Calibri"/>
              </w:rPr>
              <w:t>distinguish reactive from clonal (and oligoclonal) T-cell proliferations</w:t>
            </w:r>
            <w:r w:rsidR="00303115" w:rsidRPr="00B219A4">
              <w:rPr>
                <w:rFonts w:cs="Calibri"/>
              </w:rPr>
              <w:fldChar w:fldCharType="begin">
                <w:fldData xml:space="preserve">PEVuZE5vdGU+PENpdGU+PEF1dGhvcj5TeXJ5a2g8L0F1dGhvcj48WWVhcj4yMDIxPC9ZZWFyPjxS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=
</w:fldData>
              </w:fldChar>
            </w:r>
            <w:r w:rsidR="006C4886" w:rsidRPr="00B219A4">
              <w:rPr>
                <w:rFonts w:cs="Calibri"/>
              </w:rPr>
              <w:instrText xml:space="preserve"> ADDIN EN.CITE </w:instrText>
            </w:r>
            <w:r w:rsidR="006C4886" w:rsidRPr="00B219A4">
              <w:rPr>
                <w:rFonts w:cs="Calibri"/>
              </w:rPr>
              <w:fldChar w:fldCharType="begin">
                <w:fldData xml:space="preserve">PEVuZE5vdGU+PENpdGU+PEF1dGhvcj5TeXJ5a2g8L0F1dGhvcj48WWVhcj4yMDIxPC9ZZWFyPjxS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=
</w:fldData>
              </w:fldChar>
            </w:r>
            <w:r w:rsidR="006C4886" w:rsidRPr="00B219A4">
              <w:rPr>
                <w:rFonts w:cs="Calibri"/>
              </w:rPr>
              <w:instrText xml:space="preserve"> ADDIN EN.CITE.DATA </w:instrText>
            </w:r>
            <w:r w:rsidR="006C4886" w:rsidRPr="00B219A4">
              <w:rPr>
                <w:rFonts w:cs="Calibri"/>
              </w:rPr>
            </w:r>
            <w:r w:rsidR="006C4886" w:rsidRPr="00B219A4">
              <w:rPr>
                <w:rFonts w:cs="Calibri"/>
              </w:rPr>
              <w:fldChar w:fldCharType="end"/>
            </w:r>
            <w:r w:rsidR="00303115" w:rsidRPr="00B219A4">
              <w:rPr>
                <w:rFonts w:cs="Calibri"/>
              </w:rPr>
            </w:r>
            <w:r w:rsidR="00303115" w:rsidRPr="00B219A4">
              <w:rPr>
                <w:rFonts w:cs="Calibri"/>
              </w:rPr>
              <w:fldChar w:fldCharType="separate"/>
            </w:r>
            <w:r w:rsidR="00303115" w:rsidRPr="00B219A4">
              <w:rPr>
                <w:rFonts w:cs="Calibri"/>
                <w:vertAlign w:val="superscript"/>
              </w:rPr>
              <w:t>1-4</w:t>
            </w:r>
            <w:r w:rsidR="00303115" w:rsidRPr="00B219A4">
              <w:rPr>
                <w:rFonts w:cs="Calibri"/>
              </w:rPr>
              <w:fldChar w:fldCharType="end"/>
            </w:r>
            <w:r w:rsidR="00303115" w:rsidRPr="00B219A4">
              <w:rPr>
                <w:rFonts w:cs="Calibri"/>
              </w:rPr>
              <w:t>.</w:t>
            </w:r>
          </w:p>
          <w:p w14:paraId="2F01FFB3" w14:textId="78936EBC" w:rsidR="00D44ADE" w:rsidRPr="00B219A4" w:rsidRDefault="00D44ADE" w:rsidP="007E426A">
            <w:pPr>
              <w:pStyle w:val="CLIN3BULLETPOINTS"/>
              <w:rPr>
                <w:rFonts w:cs="Calibri"/>
              </w:rPr>
            </w:pPr>
            <w:r w:rsidRPr="00B219A4">
              <w:rPr>
                <w:rFonts w:cs="Calibri"/>
              </w:rPr>
              <w:t>As well as serving as markers of a clonal process within the specimen, t</w:t>
            </w:r>
            <w:r w:rsidR="00286890" w:rsidRPr="00B219A4">
              <w:rPr>
                <w:rFonts w:cs="Calibri"/>
              </w:rPr>
              <w:t xml:space="preserve">he detection of variants in </w:t>
            </w:r>
            <w:r w:rsidRPr="00B219A4">
              <w:rPr>
                <w:rFonts w:cs="Calibri"/>
                <w:i/>
              </w:rPr>
              <w:t>TET2</w:t>
            </w:r>
            <w:r w:rsidRPr="00B219A4">
              <w:rPr>
                <w:rFonts w:cs="Calibri"/>
              </w:rPr>
              <w:t xml:space="preserve">, </w:t>
            </w:r>
            <w:r w:rsidRPr="00B219A4">
              <w:rPr>
                <w:rFonts w:cs="Calibri"/>
                <w:i/>
              </w:rPr>
              <w:t>DNMT3A</w:t>
            </w:r>
            <w:r w:rsidRPr="00B219A4">
              <w:rPr>
                <w:rFonts w:cs="Calibri"/>
              </w:rPr>
              <w:t xml:space="preserve">, </w:t>
            </w:r>
            <w:r w:rsidRPr="00B219A4">
              <w:rPr>
                <w:rFonts w:cs="Calibri"/>
                <w:i/>
              </w:rPr>
              <w:t>JAK3</w:t>
            </w:r>
            <w:r w:rsidRPr="00B219A4">
              <w:rPr>
                <w:rFonts w:cs="Calibri"/>
              </w:rPr>
              <w:t xml:space="preserve">, </w:t>
            </w:r>
            <w:r w:rsidRPr="00B219A4">
              <w:rPr>
                <w:rFonts w:cs="Calibri"/>
                <w:i/>
              </w:rPr>
              <w:t>STAT3</w:t>
            </w:r>
            <w:r w:rsidRPr="00B219A4">
              <w:rPr>
                <w:rFonts w:cs="Calibri"/>
              </w:rPr>
              <w:t xml:space="preserve">, </w:t>
            </w:r>
            <w:r w:rsidRPr="00B219A4">
              <w:rPr>
                <w:rFonts w:cs="Calibri"/>
                <w:i/>
              </w:rPr>
              <w:t>STAT5B</w:t>
            </w:r>
            <w:r w:rsidRPr="00B219A4">
              <w:rPr>
                <w:rFonts w:cs="Calibri"/>
              </w:rPr>
              <w:t xml:space="preserve">, </w:t>
            </w:r>
            <w:r w:rsidRPr="00B219A4">
              <w:rPr>
                <w:rFonts w:cs="Calibri"/>
                <w:i/>
              </w:rPr>
              <w:t>FYN</w:t>
            </w:r>
            <w:r w:rsidRPr="00B219A4">
              <w:rPr>
                <w:rFonts w:cs="Calibri"/>
              </w:rPr>
              <w:t xml:space="preserve">, </w:t>
            </w:r>
            <w:r w:rsidRPr="00B219A4">
              <w:rPr>
                <w:rFonts w:cs="Calibri"/>
                <w:i/>
              </w:rPr>
              <w:t>RHOA</w:t>
            </w:r>
            <w:r w:rsidRPr="00B219A4">
              <w:rPr>
                <w:rFonts w:cs="Calibri"/>
              </w:rPr>
              <w:t xml:space="preserve">, </w:t>
            </w:r>
            <w:r w:rsidRPr="00B219A4">
              <w:rPr>
                <w:rFonts w:cs="Calibri"/>
                <w:i/>
              </w:rPr>
              <w:t>IDH2</w:t>
            </w:r>
            <w:r w:rsidRPr="00B219A4">
              <w:rPr>
                <w:rFonts w:cs="Calibri"/>
              </w:rPr>
              <w:t xml:space="preserve"> (Arg172), </w:t>
            </w:r>
            <w:r w:rsidRPr="00B219A4">
              <w:rPr>
                <w:rFonts w:cs="Calibri"/>
                <w:i/>
              </w:rPr>
              <w:t xml:space="preserve">NOTCH1 </w:t>
            </w:r>
            <w:r w:rsidRPr="00B219A4">
              <w:rPr>
                <w:rFonts w:cs="Calibri"/>
              </w:rPr>
              <w:t xml:space="preserve">and </w:t>
            </w:r>
            <w:r w:rsidRPr="00B219A4">
              <w:rPr>
                <w:rFonts w:cs="Calibri"/>
                <w:i/>
              </w:rPr>
              <w:t>PLCG1</w:t>
            </w:r>
            <w:r w:rsidRPr="00B219A4">
              <w:rPr>
                <w:rFonts w:cs="Calibri"/>
              </w:rPr>
              <w:t xml:space="preserve"> on this panel support a diagnosis of T-cell lymphoma</w:t>
            </w:r>
            <w:r w:rsidR="00EF4E19" w:rsidRPr="00B219A4">
              <w:rPr>
                <w:rFonts w:cs="Calibri"/>
              </w:rPr>
              <w:t xml:space="preserve"> and aid subclassification</w:t>
            </w:r>
            <w:r w:rsidR="00303115" w:rsidRPr="00B219A4">
              <w:rPr>
                <w:rFonts w:cs="Calibri"/>
              </w:rPr>
              <w:fldChar w:fldCharType="begin"/>
            </w:r>
            <w:r w:rsidR="00303115" w:rsidRPr="00B219A4">
              <w:rPr>
                <w:rFonts w:cs="Calibri"/>
              </w:rPr>
              <w:instrText xml:space="preserve"> ADDIN EN.CITE &lt;EndNote&gt;&lt;Cite&gt;&lt;Author&gt;Swerdlow SH&lt;/Author&gt;&lt;Year&gt;2017&lt;/Year&gt;&lt;RecNum&gt;2679&lt;/RecNum&gt;&lt;DisplayText&gt;&lt;style face="superscript"&gt;5&lt;/style&gt;&lt;/DisplayText&gt;&lt;record&gt;&lt;rec-number&gt;2679&lt;/rec-number&gt;&lt;foreign-keys&gt;&lt;key app="EN" db-id="5wep2s5sfw2et6evrtzp092brtz2s0d20svw" timestamp="1613003011" guid="6808e434-6564-4b2f-9a5c-17f3d5da53ab"&gt;2679&lt;/key&gt;&lt;/foreign-keys&gt;&lt;ref-type name="Book"&gt;6&lt;/ref-type&gt;&lt;contributors&gt;&lt;authors&gt;&lt;author&gt;Swerdlow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303115" w:rsidRPr="00B219A4">
              <w:rPr>
                <w:rFonts w:cs="Calibri"/>
              </w:rPr>
              <w:fldChar w:fldCharType="separate"/>
            </w:r>
            <w:r w:rsidR="00303115" w:rsidRPr="00B219A4">
              <w:rPr>
                <w:rFonts w:cs="Calibri"/>
                <w:vertAlign w:val="superscript"/>
              </w:rPr>
              <w:t>5</w:t>
            </w:r>
            <w:r w:rsidR="00303115" w:rsidRPr="00B219A4">
              <w:rPr>
                <w:rFonts w:cs="Calibri"/>
              </w:rPr>
              <w:fldChar w:fldCharType="end"/>
            </w:r>
            <w:r w:rsidRPr="00B219A4">
              <w:rPr>
                <w:rFonts w:cs="Calibri"/>
              </w:rPr>
              <w:t xml:space="preserve">. </w:t>
            </w:r>
          </w:p>
          <w:p w14:paraId="7ABB51A9" w14:textId="0B4EC476" w:rsidR="00AF5D34" w:rsidRPr="00B219A4" w:rsidRDefault="00D44ADE" w:rsidP="007E426A">
            <w:pPr>
              <w:pStyle w:val="CLIN3BULLETPOINTS"/>
              <w:rPr>
                <w:rFonts w:cs="Calibri"/>
              </w:rPr>
            </w:pPr>
            <w:r w:rsidRPr="00B219A4">
              <w:rPr>
                <w:rFonts w:cs="Calibri"/>
              </w:rPr>
              <w:t xml:space="preserve">Whilst the absence of variants detected in the genes </w:t>
            </w:r>
            <w:r w:rsidR="00D56BC6" w:rsidRPr="00B219A4">
              <w:rPr>
                <w:rFonts w:cs="Calibri"/>
              </w:rPr>
              <w:t xml:space="preserve">listed </w:t>
            </w:r>
            <w:r w:rsidRPr="00B219A4">
              <w:rPr>
                <w:rFonts w:cs="Calibri"/>
              </w:rPr>
              <w:t xml:space="preserve">above </w:t>
            </w:r>
            <w:r w:rsidR="00D56BC6" w:rsidRPr="00B219A4">
              <w:rPr>
                <w:rFonts w:cs="Calibri"/>
              </w:rPr>
              <w:t xml:space="preserve">in </w:t>
            </w:r>
            <w:r w:rsidRPr="00B219A4">
              <w:rPr>
                <w:rFonts w:cs="Calibri"/>
              </w:rPr>
              <w:t>this assay make T-cell lymphoma less likely, investigation of further genomic markers of T-cell lymphoma should be considered including other gene mutations (</w:t>
            </w:r>
            <w:r w:rsidRPr="00B219A4">
              <w:rPr>
                <w:rFonts w:cs="Calibri"/>
                <w:i/>
              </w:rPr>
              <w:t>e.g.</w:t>
            </w:r>
            <w:r w:rsidRPr="00B219A4">
              <w:rPr>
                <w:rFonts w:cs="Calibri"/>
              </w:rPr>
              <w:t xml:space="preserve"> </w:t>
            </w:r>
            <w:r w:rsidRPr="00B219A4">
              <w:rPr>
                <w:rFonts w:cs="Calibri"/>
                <w:i/>
              </w:rPr>
              <w:t>DDX3X</w:t>
            </w:r>
            <w:r w:rsidRPr="00B219A4">
              <w:rPr>
                <w:rFonts w:cs="Calibri"/>
              </w:rPr>
              <w:t xml:space="preserve">, </w:t>
            </w:r>
            <w:r w:rsidRPr="00B219A4">
              <w:rPr>
                <w:rFonts w:cs="Calibri"/>
                <w:i/>
              </w:rPr>
              <w:t>KMT2D</w:t>
            </w:r>
            <w:r w:rsidRPr="00B219A4">
              <w:rPr>
                <w:rFonts w:cs="Calibri"/>
              </w:rPr>
              <w:t>), copy number changes and structural variants (</w:t>
            </w:r>
            <w:r w:rsidRPr="00B219A4">
              <w:rPr>
                <w:rFonts w:cs="Calibri"/>
                <w:i/>
              </w:rPr>
              <w:t>e.g.</w:t>
            </w:r>
            <w:r w:rsidRPr="00B219A4">
              <w:rPr>
                <w:rFonts w:cs="Calibri"/>
              </w:rPr>
              <w:t xml:space="preserve"> </w:t>
            </w:r>
            <w:r w:rsidR="00EF4E19" w:rsidRPr="00B219A4">
              <w:rPr>
                <w:rFonts w:cs="Calibri"/>
              </w:rPr>
              <w:t>inv(14)(q11q32) in T-PLL</w:t>
            </w:r>
            <w:r w:rsidRPr="00B219A4">
              <w:rPr>
                <w:rFonts w:cs="Calibri"/>
              </w:rPr>
              <w:t>)</w:t>
            </w:r>
            <w:r w:rsidR="00EF4E19" w:rsidRPr="00B219A4">
              <w:rPr>
                <w:rFonts w:cs="Calibri"/>
              </w:rPr>
              <w:t xml:space="preserve"> </w:t>
            </w:r>
            <w:r w:rsidRPr="00B219A4">
              <w:rPr>
                <w:rFonts w:cs="Calibri"/>
              </w:rPr>
              <w:t xml:space="preserve">depending on clinicopathological context. </w:t>
            </w:r>
          </w:p>
          <w:p w14:paraId="143214C0" w14:textId="77777777" w:rsidR="000E668C" w:rsidRPr="00B219A4" w:rsidRDefault="00AF5D34" w:rsidP="00303115">
            <w:pPr>
              <w:pStyle w:val="CLIN2SUBHEADINGS"/>
              <w:rPr>
                <w:rFonts w:cs="Calibri"/>
              </w:rPr>
            </w:pPr>
            <w:r w:rsidRPr="00B219A4">
              <w:rPr>
                <w:rFonts w:cs="Calibri"/>
              </w:rPr>
              <w:t>REFERENCES</w:t>
            </w:r>
          </w:p>
          <w:p w14:paraId="70C53D94" w14:textId="284F1B58" w:rsidR="00303115" w:rsidRPr="00B219A4" w:rsidRDefault="00303115" w:rsidP="006C4886">
            <w:pPr>
              <w:pStyle w:val="CLIN4"/>
              <w:rPr>
                <w:rFonts w:cs="Calibri"/>
              </w:rPr>
            </w:pPr>
            <w:r w:rsidRPr="00B219A4">
              <w:rPr>
                <w:rFonts w:cs="Calibri"/>
                <w:sz w:val="6"/>
                <w:szCs w:val="6"/>
              </w:rPr>
              <w:fldChar w:fldCharType="begin"/>
            </w:r>
            <w:r w:rsidRPr="00B219A4">
              <w:rPr>
                <w:rFonts w:cs="Calibri"/>
                <w:sz w:val="6"/>
                <w:szCs w:val="6"/>
              </w:rPr>
              <w:instrText xml:space="preserve"> ADDIN EN.REFLIST </w:instrText>
            </w:r>
            <w:r w:rsidRPr="00B219A4">
              <w:rPr>
                <w:rFonts w:cs="Calibri"/>
                <w:sz w:val="6"/>
                <w:szCs w:val="6"/>
              </w:rPr>
              <w:fldChar w:fldCharType="separate"/>
            </w:r>
            <w:r w:rsidR="006C4886" w:rsidRPr="00B219A4">
              <w:rPr>
                <w:rFonts w:cs="Calibri"/>
                <w:b/>
              </w:rPr>
              <w:t>1.</w:t>
            </w:r>
            <w:r w:rsidR="006C4886" w:rsidRPr="00B219A4">
              <w:rPr>
                <w:rFonts w:cs="Calibri"/>
              </w:rPr>
              <w:t xml:space="preserve"> Syrykh C, et al. Molecular Diagnosis of T-cell Lymphoma: A correlative study of PCR-based T-cell clonality assessment and targeted NGS. </w:t>
            </w:r>
            <w:r w:rsidR="006C4886" w:rsidRPr="00B219A4">
              <w:rPr>
                <w:rFonts w:cs="Calibri"/>
                <w:i/>
              </w:rPr>
              <w:t>Blood Adv</w:t>
            </w:r>
            <w:r w:rsidR="006C4886" w:rsidRPr="00B219A4">
              <w:rPr>
                <w:rFonts w:cs="Calibri"/>
              </w:rPr>
              <w:t xml:space="preserve"> 2021.  </w:t>
            </w:r>
            <w:r w:rsidR="006C4886" w:rsidRPr="00B219A4">
              <w:rPr>
                <w:rFonts w:cs="Calibri"/>
                <w:b/>
              </w:rPr>
              <w:t>2.</w:t>
            </w:r>
            <w:r w:rsidR="006C4886" w:rsidRPr="00B219A4">
              <w:rPr>
                <w:rFonts w:cs="Calibri"/>
              </w:rPr>
              <w:t xml:space="preserve"> Mahe E, et al. T cell clonality assessment: past, present and future. </w:t>
            </w:r>
            <w:r w:rsidR="006C4886" w:rsidRPr="00B219A4">
              <w:rPr>
                <w:rFonts w:cs="Calibri"/>
                <w:i/>
              </w:rPr>
              <w:t>J Clin Pathol</w:t>
            </w:r>
            <w:r w:rsidR="006C4886" w:rsidRPr="00B219A4">
              <w:rPr>
                <w:rFonts w:cs="Calibri"/>
              </w:rPr>
              <w:t xml:space="preserve"> 2018; </w:t>
            </w:r>
            <w:r w:rsidR="006C4886" w:rsidRPr="00B219A4">
              <w:rPr>
                <w:rFonts w:cs="Calibri"/>
                <w:b/>
              </w:rPr>
              <w:t>71</w:t>
            </w:r>
            <w:r w:rsidR="006C4886" w:rsidRPr="00B219A4">
              <w:rPr>
                <w:rFonts w:cs="Calibri"/>
              </w:rPr>
              <w:t xml:space="preserve">(3): 195-200.  </w:t>
            </w:r>
            <w:r w:rsidR="006C4886" w:rsidRPr="00B219A4">
              <w:rPr>
                <w:rFonts w:cs="Calibri"/>
                <w:b/>
              </w:rPr>
              <w:t>3.</w:t>
            </w:r>
            <w:r w:rsidR="006C4886" w:rsidRPr="00B219A4">
              <w:rPr>
                <w:rFonts w:cs="Calibri"/>
              </w:rPr>
              <w:t xml:space="preserve"> Bagg A, et al. Immunoglobulin Heavy Chain Gene Analysis in Lymphomas. </w:t>
            </w:r>
            <w:r w:rsidR="006C4886" w:rsidRPr="00B219A4">
              <w:rPr>
                <w:rFonts w:cs="Calibri"/>
                <w:i/>
              </w:rPr>
              <w:t>J Mol Diagn</w:t>
            </w:r>
            <w:r w:rsidR="006C4886" w:rsidRPr="00B219A4">
              <w:rPr>
                <w:rFonts w:cs="Calibri"/>
              </w:rPr>
              <w:t xml:space="preserve"> 2002; </w:t>
            </w:r>
            <w:r w:rsidR="006C4886" w:rsidRPr="00B219A4">
              <w:rPr>
                <w:rFonts w:cs="Calibri"/>
                <w:b/>
              </w:rPr>
              <w:t>4</w:t>
            </w:r>
            <w:r w:rsidR="006C4886" w:rsidRPr="00B219A4">
              <w:rPr>
                <w:rFonts w:cs="Calibri"/>
              </w:rPr>
              <w:t xml:space="preserve">(2): 81-9.  </w:t>
            </w:r>
            <w:r w:rsidR="006C4886" w:rsidRPr="00B219A4">
              <w:rPr>
                <w:rFonts w:cs="Calibri"/>
                <w:b/>
              </w:rPr>
              <w:t>4.</w:t>
            </w:r>
            <w:r w:rsidR="006C4886" w:rsidRPr="00B219A4">
              <w:rPr>
                <w:rFonts w:cs="Calibri"/>
              </w:rPr>
              <w:t xml:space="preserve"> Cushman-Vokoun AM, et al. Assay design affects the interpretation of T-cell receptor gamma gene rearrangements: comparison of the performance of a one-tube assay with the BIOMED-2-based TCRG gene clonality assay. </w:t>
            </w:r>
            <w:r w:rsidR="006C4886" w:rsidRPr="00B219A4">
              <w:rPr>
                <w:rFonts w:cs="Calibri"/>
                <w:i/>
              </w:rPr>
              <w:t>J Mol Diagn</w:t>
            </w:r>
            <w:r w:rsidR="006C4886" w:rsidRPr="00B219A4">
              <w:rPr>
                <w:rFonts w:cs="Calibri"/>
              </w:rPr>
              <w:t xml:space="preserve"> 2010; </w:t>
            </w:r>
            <w:r w:rsidR="006C4886" w:rsidRPr="00B219A4">
              <w:rPr>
                <w:rFonts w:cs="Calibri"/>
                <w:b/>
              </w:rPr>
              <w:t>12</w:t>
            </w:r>
            <w:r w:rsidR="006C4886" w:rsidRPr="00B219A4">
              <w:rPr>
                <w:rFonts w:cs="Calibri"/>
              </w:rPr>
              <w:t xml:space="preserve">(6): 787-96.  </w:t>
            </w:r>
            <w:r w:rsidR="006C4886" w:rsidRPr="00B219A4">
              <w:rPr>
                <w:rFonts w:cs="Calibri"/>
                <w:b/>
              </w:rPr>
              <w:t>5.</w:t>
            </w:r>
            <w:r w:rsidR="006C4886" w:rsidRPr="00B219A4">
              <w:rPr>
                <w:rFonts w:cs="Calibri"/>
              </w:rPr>
              <w:t xml:space="preserve"> Swerdlow SH CE, Harris NL, Jaffe ES, Pileri SA, Stein H, Thiele J. WHO Classification of Tumours of Haematopoietic and Lymphoid Tissues (revised 4th edition). Lyon: IARC; 2017.  </w:t>
            </w:r>
            <w:r w:rsidRPr="00B219A4"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5F202004" w14:textId="5EE7F518" w:rsidR="00303115" w:rsidRPr="00B219A4" w:rsidRDefault="00303115" w:rsidP="00D02B85">
      <w:pPr>
        <w:rPr>
          <w:rFonts w:ascii="Calibri" w:hAnsi="Calibri" w:cs="Calibri"/>
          <w:noProof/>
          <w:sz w:val="6"/>
          <w:szCs w:val="6"/>
        </w:rPr>
      </w:pPr>
    </w:p>
    <w:sectPr w:rsidR="00303115" w:rsidRPr="00B219A4" w:rsidSect="00FC3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B1FD3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63CE632A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2162A" w14:textId="77777777" w:rsidR="00B4789D" w:rsidRDefault="00B47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CF1A1" w14:textId="6D5F2FC0" w:rsidR="004D2615" w:rsidRPr="00070923" w:rsidRDefault="00B4789D" w:rsidP="00070923">
    <w:pPr>
      <w:pStyle w:val="Footer"/>
      <w:tabs>
        <w:tab w:val="clear" w:pos="8640"/>
        <w:tab w:val="right" w:pos="10198"/>
      </w:tabs>
      <w:rPr>
        <w:sz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70F4D" w14:textId="77777777" w:rsidR="00B4789D" w:rsidRDefault="00B47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CC568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2EC55198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27573" w14:textId="77777777" w:rsidR="00B4789D" w:rsidRDefault="00B47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CD5A5" w14:textId="77777777" w:rsidR="00B4789D" w:rsidRDefault="00B478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1C50F" w14:textId="77777777" w:rsidR="00B4789D" w:rsidRDefault="00B47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B434C448"/>
    <w:lvl w:ilvl="0" w:tplc="896A15CA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2ff5xxepw5ftsep95jvrtxd9pef29zdze92&quot;&gt;NGSlibrary_backup&lt;record-ids&gt;&lt;item&gt;5115&lt;/item&gt;&lt;item&gt;5116&lt;/item&gt;&lt;item&gt;5117&lt;/item&gt;&lt;item&gt;5118&lt;/item&gt;&lt;/record-ids&gt;&lt;/item&gt;&lt;/Libraries&gt;"/>
  </w:docVars>
  <w:rsids>
    <w:rsidRoot w:val="00F166A0"/>
    <w:rsid w:val="00072CED"/>
    <w:rsid w:val="000A7023"/>
    <w:rsid w:val="000E668C"/>
    <w:rsid w:val="00286890"/>
    <w:rsid w:val="00303115"/>
    <w:rsid w:val="00583160"/>
    <w:rsid w:val="005B783A"/>
    <w:rsid w:val="005B78C2"/>
    <w:rsid w:val="006C4886"/>
    <w:rsid w:val="00763B8A"/>
    <w:rsid w:val="007E426A"/>
    <w:rsid w:val="0086782A"/>
    <w:rsid w:val="008F1D2C"/>
    <w:rsid w:val="00AF5D34"/>
    <w:rsid w:val="00B054F9"/>
    <w:rsid w:val="00B219A4"/>
    <w:rsid w:val="00B4789D"/>
    <w:rsid w:val="00C266BE"/>
    <w:rsid w:val="00CD59C5"/>
    <w:rsid w:val="00D02B85"/>
    <w:rsid w:val="00D44ADE"/>
    <w:rsid w:val="00D56BC6"/>
    <w:rsid w:val="00E00165"/>
    <w:rsid w:val="00E13354"/>
    <w:rsid w:val="00E50A32"/>
    <w:rsid w:val="00E74528"/>
    <w:rsid w:val="00EF4E19"/>
    <w:rsid w:val="00F166A0"/>
    <w:rsid w:val="00F9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E43CE1A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B219A4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763B8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B219A4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763B8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F4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E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1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F4E19"/>
    <w:rPr>
      <w:color w:val="0000FF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0311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03115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031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Thompson Ella</cp:lastModifiedBy>
  <cp:revision>12</cp:revision>
  <dcterms:created xsi:type="dcterms:W3CDTF">2021-10-08T23:33:00Z</dcterms:created>
  <dcterms:modified xsi:type="dcterms:W3CDTF">2021-10-21T23:50:00Z</dcterms:modified>
</cp:coreProperties>
</file>