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967" w:rsidRPr="00A02914" w:rsidRDefault="00693967" w:rsidP="00D02B85">
      <w:pPr>
        <w:spacing w:after="0"/>
        <w:rPr>
          <w:rFonts w:ascii="Calibri" w:hAnsi="Calibri" w:cs="Calibri"/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8996"/>
      </w:tblGrid>
      <w:tr w:rsidR="00693967" w:rsidRPr="00A02914" w:rsidTr="005B783A">
        <w:trPr>
          <w:trHeight w:val="654"/>
          <w:jc w:val="center"/>
        </w:trPr>
        <w:tc>
          <w:tcPr>
            <w:tcW w:w="10188" w:type="dxa"/>
            <w:shd w:val="clear" w:color="auto" w:fill="E8E7EC"/>
          </w:tcPr>
          <w:p w:rsidR="00693967" w:rsidRPr="00A02914" w:rsidRDefault="00693967" w:rsidP="00FE2830">
            <w:pPr>
              <w:pStyle w:val="CLIN1HEADING"/>
              <w:rPr>
                <w:rFonts w:cs="Calibri"/>
              </w:rPr>
            </w:pPr>
            <w:r w:rsidRPr="00A02914">
              <w:rPr>
                <w:rFonts w:cs="Calibri"/>
                <w:lang w:eastAsia="en-AU"/>
              </w:rPr>
              <w:t xml:space="preserve">CLINICAL Utility of Molecular Testing in </w:t>
            </w:r>
            <w:r w:rsidRPr="00A02914">
              <w:rPr>
                <w:rFonts w:cs="Calibri"/>
                <w:lang w:eastAsia="en-AU"/>
              </w:rPr>
              <w:br/>
            </w:r>
            <w:r>
              <w:rPr>
                <w:rFonts w:cs="Calibri"/>
              </w:rPr>
              <w:t>MYELOID NEOPLASMS POST CYTOTOXIC THERAPY</w:t>
            </w:r>
          </w:p>
          <w:p w:rsidR="00693967" w:rsidRPr="00A02914" w:rsidRDefault="00693967" w:rsidP="001149C6">
            <w:pPr>
              <w:pStyle w:val="CLIN2SUBHEADINGS"/>
              <w:rPr>
                <w:rFonts w:cs="Calibri"/>
              </w:rPr>
            </w:pPr>
            <w:r w:rsidRPr="00A02914">
              <w:rPr>
                <w:rFonts w:cs="Calibri"/>
              </w:rPr>
              <w:t>Diagnostic Utility</w:t>
            </w:r>
          </w:p>
          <w:p w:rsidR="00693967" w:rsidRDefault="00693967" w:rsidP="00693967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>Myeloid neoplasms post cytotoxic therapy (MN-pCT) encompass myelodysplastic neoplasms (MDS), myelodysplastic/myeloproliferative neoplasms (MDS/MPN), and acute myeloid leukaemia (AML) that arise in a patient with a history of exposure to DNA-damaging cytotoxic chemotherapy and/or large-field radiation therapy</w:t>
            </w:r>
            <w:r w:rsidRPr="00823ED8">
              <w:rPr>
                <w:rFonts w:cs="Calibri"/>
                <w:vertAlign w:val="superscript"/>
              </w:rPr>
              <w:t>1</w:t>
            </w:r>
            <w:r>
              <w:rPr>
                <w:rFonts w:cs="Calibri"/>
              </w:rPr>
              <w:t xml:space="preserve">. </w:t>
            </w:r>
          </w:p>
          <w:p w:rsidR="00693967" w:rsidRDefault="00693967" w:rsidP="00693967">
            <w:pPr>
              <w:pStyle w:val="CLIN3BULLETPOINTS"/>
            </w:pPr>
            <w:r>
              <w:t>In contrast to the WHO 5</w:t>
            </w:r>
            <w:r w:rsidRPr="00FE0B59">
              <w:rPr>
                <w:vertAlign w:val="superscript"/>
              </w:rPr>
              <w:t>th</w:t>
            </w:r>
            <w:r>
              <w:t xml:space="preserve"> edition, the international consensus classification (ICC) of myeloid neoplasms and acute leukaemia has eliminated a stand-alone category of MN-pCT and instead “therapy-related” is applied as a secondary diagnostic qualifier to be used</w:t>
            </w:r>
            <w:r w:rsidRPr="00B13EEF">
              <w:rPr>
                <w:rFonts w:cs="Calibri"/>
              </w:rPr>
              <w:t xml:space="preserve"> following a specific MDS, AML (or MDS/AML) diagnosis</w:t>
            </w:r>
            <w:r w:rsidRPr="00B13EEF">
              <w:rPr>
                <w:rFonts w:cs="Calibri"/>
                <w:vertAlign w:val="superscript"/>
              </w:rPr>
              <w:t>2</w:t>
            </w:r>
            <w:r>
              <w:rPr>
                <w:rFonts w:cs="Calibri"/>
              </w:rPr>
              <w:t>.</w:t>
            </w:r>
          </w:p>
          <w:p w:rsidR="00693967" w:rsidRPr="00A02914" w:rsidRDefault="00693967" w:rsidP="00693967">
            <w:pPr>
              <w:pStyle w:val="CLIN3BULLETPOINTS"/>
              <w:rPr>
                <w:rFonts w:cs="Calibri"/>
              </w:rPr>
            </w:pPr>
            <w:r w:rsidRPr="00A02914">
              <w:rPr>
                <w:rFonts w:cs="Calibri"/>
                <w:i/>
              </w:rPr>
              <w:t>TP53</w:t>
            </w:r>
            <w:r w:rsidRPr="00A02914">
              <w:rPr>
                <w:rFonts w:cs="Calibri"/>
              </w:rPr>
              <w:t xml:space="preserve"> mutations</w:t>
            </w:r>
            <w:r>
              <w:rPr>
                <w:rFonts w:cs="Calibri"/>
              </w:rPr>
              <w:t xml:space="preserve"> (frequently multi-hit)</w:t>
            </w:r>
            <w:r w:rsidRPr="00A02914">
              <w:rPr>
                <w:rFonts w:cs="Calibri"/>
              </w:rPr>
              <w:t>, along with del(5q), -7/del(7q) and a complex karyotype are significantly over</w:t>
            </w:r>
            <w:r>
              <w:rPr>
                <w:rFonts w:cs="Calibri"/>
              </w:rPr>
              <w:t>-</w:t>
            </w:r>
            <w:r w:rsidRPr="00A02914">
              <w:rPr>
                <w:rFonts w:cs="Calibri"/>
              </w:rPr>
              <w:t>represented in MN</w:t>
            </w:r>
            <w:r>
              <w:rPr>
                <w:rFonts w:cs="Calibri"/>
              </w:rPr>
              <w:t>-pCT</w:t>
            </w:r>
            <w:r w:rsidRPr="00A02914">
              <w:rPr>
                <w:rFonts w:cs="Calibri"/>
              </w:rPr>
              <w:t xml:space="preserve"> and are associated with prior alkylating therapy and/or </w:t>
            </w:r>
            <w:r>
              <w:rPr>
                <w:rFonts w:cs="Calibri"/>
              </w:rPr>
              <w:t>ionizing radiation</w:t>
            </w:r>
            <w:r w:rsidRPr="00B13EEF">
              <w:rPr>
                <w:rFonts w:cs="Calibri"/>
                <w:vertAlign w:val="superscript"/>
              </w:rPr>
              <w:t>1,3</w:t>
            </w:r>
            <w:r w:rsidRPr="00A02914">
              <w:rPr>
                <w:rFonts w:cs="Calibri"/>
              </w:rPr>
              <w:t>.</w:t>
            </w:r>
          </w:p>
          <w:p w:rsidR="00693967" w:rsidRPr="00A02914" w:rsidRDefault="00693967" w:rsidP="00693967">
            <w:pPr>
              <w:pStyle w:val="CLIN3BULLETPOINTS"/>
              <w:rPr>
                <w:rFonts w:cs="Calibri"/>
              </w:rPr>
            </w:pPr>
            <w:r w:rsidRPr="00A02914">
              <w:rPr>
                <w:rFonts w:cs="Calibri"/>
              </w:rPr>
              <w:t>Recurrent balanced translocations, frequently involving 11q23 (</w:t>
            </w:r>
            <w:r w:rsidRPr="00A02914">
              <w:rPr>
                <w:rFonts w:cs="Calibri"/>
                <w:i/>
              </w:rPr>
              <w:t>KMT2A</w:t>
            </w:r>
            <w:r w:rsidRPr="00A02914">
              <w:rPr>
                <w:rFonts w:cs="Calibri"/>
              </w:rPr>
              <w:t>)</w:t>
            </w:r>
            <w:r w:rsidRPr="00A02914">
              <w:rPr>
                <w:rFonts w:cs="Calibri"/>
                <w:i/>
              </w:rPr>
              <w:t>,</w:t>
            </w:r>
            <w:r w:rsidRPr="00A02914">
              <w:rPr>
                <w:rFonts w:cs="Calibri"/>
              </w:rPr>
              <w:t xml:space="preserve"> are associated with prior topoisomerase </w:t>
            </w:r>
            <w:r>
              <w:rPr>
                <w:rFonts w:cs="Calibri"/>
              </w:rPr>
              <w:t xml:space="preserve">II </w:t>
            </w:r>
            <w:r w:rsidRPr="00A02914">
              <w:rPr>
                <w:rFonts w:cs="Calibri"/>
              </w:rPr>
              <w:t xml:space="preserve">inhibitor therapy, a short latency period and presentation with overt </w:t>
            </w:r>
            <w:r>
              <w:rPr>
                <w:rFonts w:cs="Calibri"/>
              </w:rPr>
              <w:t xml:space="preserve">AML </w:t>
            </w:r>
            <w:r w:rsidRPr="00A02914">
              <w:rPr>
                <w:rFonts w:cs="Calibri"/>
              </w:rPr>
              <w:t xml:space="preserve">without </w:t>
            </w:r>
            <w:r>
              <w:rPr>
                <w:rFonts w:cs="Calibri"/>
              </w:rPr>
              <w:t xml:space="preserve">a </w:t>
            </w:r>
            <w:r w:rsidRPr="00A02914">
              <w:rPr>
                <w:rFonts w:cs="Calibri"/>
              </w:rPr>
              <w:t>preceding MDS</w:t>
            </w:r>
            <w:r>
              <w:rPr>
                <w:rFonts w:cs="Calibri"/>
              </w:rPr>
              <w:t xml:space="preserve"> phase</w:t>
            </w:r>
            <w:r w:rsidRPr="00B13EEF">
              <w:rPr>
                <w:rFonts w:cs="Calibri"/>
                <w:vertAlign w:val="superscript"/>
              </w:rPr>
              <w:t>4</w:t>
            </w:r>
            <w:r w:rsidRPr="00A02914">
              <w:rPr>
                <w:rFonts w:cs="Calibri"/>
              </w:rPr>
              <w:t xml:space="preserve">. </w:t>
            </w:r>
          </w:p>
          <w:p w:rsidR="00693967" w:rsidRDefault="00693967" w:rsidP="00693967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 xml:space="preserve">Other gene mutations more frequently observed in MN-pCT include </w:t>
            </w:r>
            <w:r>
              <w:rPr>
                <w:rFonts w:cs="Calibri"/>
                <w:i/>
              </w:rPr>
              <w:t>PPM1D</w:t>
            </w:r>
            <w:r>
              <w:rPr>
                <w:rFonts w:cs="Calibri"/>
              </w:rPr>
              <w:t xml:space="preserve"> (~15%) and other DNA damage response genes</w:t>
            </w:r>
            <w:r w:rsidRPr="00B13EEF">
              <w:rPr>
                <w:rFonts w:cs="Calibri"/>
                <w:vertAlign w:val="superscript"/>
              </w:rPr>
              <w:t>5,6</w:t>
            </w:r>
            <w:r>
              <w:rPr>
                <w:rFonts w:cs="Calibri"/>
              </w:rPr>
              <w:t>.</w:t>
            </w:r>
          </w:p>
          <w:p w:rsidR="00693967" w:rsidRDefault="00693967" w:rsidP="00693967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>Exposure to PARP1 inhibitors is now recognised as a qualifying criterion for MN-pCT, while methotrexate exposure has been excluded</w:t>
            </w:r>
            <w:r w:rsidRPr="009B4458">
              <w:rPr>
                <w:rFonts w:cs="Calibri"/>
                <w:vertAlign w:val="superscript"/>
              </w:rPr>
              <w:t>1</w:t>
            </w:r>
            <w:r>
              <w:rPr>
                <w:rFonts w:cs="Calibri"/>
              </w:rPr>
              <w:t xml:space="preserve">. </w:t>
            </w:r>
          </w:p>
          <w:p w:rsidR="00693967" w:rsidRDefault="00693967" w:rsidP="00693967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>MN-pCT generally arise within 10 years of last exposure to cytotoxic therapy, and the origin of cases with very long latency periods may be unrelated to therapy</w:t>
            </w:r>
            <w:r w:rsidRPr="00B13EEF">
              <w:rPr>
                <w:rFonts w:cs="Calibri"/>
                <w:vertAlign w:val="superscript"/>
              </w:rPr>
              <w:t>7</w:t>
            </w:r>
            <w:r>
              <w:rPr>
                <w:rFonts w:cs="Calibri"/>
              </w:rPr>
              <w:t xml:space="preserve">. </w:t>
            </w:r>
          </w:p>
          <w:p w:rsidR="00693967" w:rsidRPr="0087247E" w:rsidRDefault="00693967" w:rsidP="00693967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>A subset of MN-pCT patients, especially those with a strong family history of cancer, may have inherited germline mutations in genes involved in DNA damage response pathways</w:t>
            </w:r>
            <w:r w:rsidRPr="00B13EEF">
              <w:rPr>
                <w:rFonts w:cs="Calibri"/>
                <w:vertAlign w:val="superscript"/>
              </w:rPr>
              <w:t>3</w:t>
            </w:r>
            <w:r>
              <w:rPr>
                <w:rFonts w:cs="Calibri"/>
              </w:rPr>
              <w:t xml:space="preserve">. </w:t>
            </w:r>
          </w:p>
          <w:p w:rsidR="00693967" w:rsidRPr="00A02914" w:rsidRDefault="00693967" w:rsidP="00693967">
            <w:pPr>
              <w:pStyle w:val="CLIN3BULLETPOINTS"/>
              <w:rPr>
                <w:rFonts w:cs="Calibri"/>
              </w:rPr>
            </w:pPr>
            <w:r w:rsidRPr="00A02914">
              <w:rPr>
                <w:rFonts w:cs="Calibri"/>
              </w:rPr>
              <w:t xml:space="preserve">A subset of </w:t>
            </w:r>
            <w:r>
              <w:rPr>
                <w:rFonts w:cs="Calibri"/>
              </w:rPr>
              <w:t xml:space="preserve">AML-pCT </w:t>
            </w:r>
            <w:r w:rsidRPr="00A02914">
              <w:rPr>
                <w:rFonts w:cs="Calibri"/>
              </w:rPr>
              <w:t>have secondary-type mutations (</w:t>
            </w:r>
            <w:r w:rsidRPr="00A02914">
              <w:rPr>
                <w:rFonts w:cs="Calibri"/>
                <w:i/>
              </w:rPr>
              <w:t>SRSF2</w:t>
            </w:r>
            <w:r w:rsidRPr="00A02914">
              <w:rPr>
                <w:rFonts w:cs="Calibri"/>
              </w:rPr>
              <w:t>,</w:t>
            </w:r>
            <w:r w:rsidRPr="00A02914">
              <w:rPr>
                <w:rFonts w:cs="Calibri"/>
                <w:i/>
              </w:rPr>
              <w:t xml:space="preserve"> SF3B1</w:t>
            </w:r>
            <w:r w:rsidRPr="00A02914">
              <w:rPr>
                <w:rFonts w:cs="Calibri"/>
              </w:rPr>
              <w:t>,</w:t>
            </w:r>
            <w:r w:rsidRPr="00A02914">
              <w:rPr>
                <w:rFonts w:cs="Calibri"/>
                <w:i/>
              </w:rPr>
              <w:t xml:space="preserve"> U2AF1</w:t>
            </w:r>
            <w:r w:rsidRPr="00A02914">
              <w:rPr>
                <w:rFonts w:cs="Calibri"/>
              </w:rPr>
              <w:t>,</w:t>
            </w:r>
            <w:r w:rsidRPr="00A02914">
              <w:rPr>
                <w:rFonts w:cs="Calibri"/>
                <w:i/>
              </w:rPr>
              <w:t xml:space="preserve"> ZRSR2</w:t>
            </w:r>
            <w:r w:rsidRPr="00A02914">
              <w:rPr>
                <w:rFonts w:cs="Calibri"/>
              </w:rPr>
              <w:t>,</w:t>
            </w:r>
            <w:r w:rsidRPr="00A02914">
              <w:rPr>
                <w:rFonts w:cs="Calibri"/>
                <w:i/>
              </w:rPr>
              <w:t xml:space="preserve"> </w:t>
            </w:r>
            <w:r>
              <w:rPr>
                <w:rFonts w:cs="Calibri"/>
                <w:i/>
              </w:rPr>
              <w:t xml:space="preserve">ASXL1, </w:t>
            </w:r>
            <w:r w:rsidRPr="00A02914">
              <w:rPr>
                <w:rFonts w:cs="Calibri"/>
                <w:i/>
              </w:rPr>
              <w:t>EZH2</w:t>
            </w:r>
            <w:r w:rsidRPr="00A02914">
              <w:rPr>
                <w:rFonts w:cs="Calibri"/>
              </w:rPr>
              <w:t>,</w:t>
            </w:r>
            <w:r w:rsidRPr="00A02914">
              <w:rPr>
                <w:rFonts w:cs="Calibri"/>
                <w:i/>
              </w:rPr>
              <w:t xml:space="preserve"> </w:t>
            </w:r>
            <w:r w:rsidRPr="00A02914">
              <w:rPr>
                <w:rFonts w:cs="Calibri"/>
              </w:rPr>
              <w:t xml:space="preserve">or </w:t>
            </w:r>
            <w:r w:rsidRPr="00A02914">
              <w:rPr>
                <w:rFonts w:cs="Calibri"/>
                <w:i/>
              </w:rPr>
              <w:t>STAG2</w:t>
            </w:r>
            <w:r w:rsidRPr="00A02914">
              <w:rPr>
                <w:rFonts w:cs="Calibri"/>
              </w:rPr>
              <w:t>) which resemble AML</w:t>
            </w:r>
            <w:r>
              <w:rPr>
                <w:rFonts w:cs="Calibri"/>
              </w:rPr>
              <w:t>, myelodysplasia-related (AML-MR) following a known history of MDS or MDS/MPN</w:t>
            </w:r>
            <w:r w:rsidRPr="00B13EEF">
              <w:rPr>
                <w:rFonts w:cs="Calibri"/>
                <w:vertAlign w:val="superscript"/>
              </w:rPr>
              <w:t>8</w:t>
            </w:r>
            <w:r w:rsidRPr="00A02914">
              <w:rPr>
                <w:rFonts w:cs="Calibri"/>
              </w:rPr>
              <w:t>.</w:t>
            </w:r>
          </w:p>
          <w:p w:rsidR="00693967" w:rsidRPr="00A02914" w:rsidRDefault="00693967" w:rsidP="001149C6">
            <w:pPr>
              <w:pStyle w:val="CLIN2SUBHEADINGS"/>
              <w:rPr>
                <w:rFonts w:cs="Calibri"/>
              </w:rPr>
            </w:pPr>
            <w:r w:rsidRPr="00A02914">
              <w:rPr>
                <w:rFonts w:cs="Calibri"/>
              </w:rPr>
              <w:t>Prognostic Utility</w:t>
            </w:r>
          </w:p>
          <w:p w:rsidR="00693967" w:rsidRPr="00A02914" w:rsidRDefault="00693967" w:rsidP="00693967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 xml:space="preserve">Whilst the prognosis of patients with t-MN is generally poor, patients with </w:t>
            </w:r>
            <w:r w:rsidRPr="00A02914">
              <w:rPr>
                <w:rFonts w:cs="Calibri"/>
              </w:rPr>
              <w:t xml:space="preserve">complex karyotype, abnormalities of chromosomes 5 and/or 7 and </w:t>
            </w:r>
            <w:r w:rsidRPr="00A02914">
              <w:rPr>
                <w:rStyle w:val="Emphasis"/>
                <w:rFonts w:cs="Calibri"/>
              </w:rPr>
              <w:t>TP53</w:t>
            </w:r>
            <w:r w:rsidRPr="00A02914">
              <w:rPr>
                <w:rFonts w:cs="Calibri"/>
              </w:rPr>
              <w:t xml:space="preserve"> mutations have particularly </w:t>
            </w:r>
            <w:r>
              <w:rPr>
                <w:rFonts w:cs="Calibri"/>
              </w:rPr>
              <w:t xml:space="preserve">inferior </w:t>
            </w:r>
            <w:r w:rsidRPr="00A02914">
              <w:rPr>
                <w:rFonts w:cs="Calibri"/>
              </w:rPr>
              <w:t>outcomes.</w:t>
            </w:r>
          </w:p>
          <w:p w:rsidR="00693967" w:rsidRPr="00A02914" w:rsidRDefault="00693967" w:rsidP="001149C6">
            <w:pPr>
              <w:pStyle w:val="CLIN2SUBHEADINGS"/>
              <w:rPr>
                <w:rFonts w:cs="Calibri"/>
              </w:rPr>
            </w:pPr>
            <w:r w:rsidRPr="00A02914">
              <w:rPr>
                <w:rFonts w:cs="Calibri"/>
              </w:rPr>
              <w:t>References</w:t>
            </w:r>
          </w:p>
          <w:p w:rsidR="00693967" w:rsidRPr="00EF515D" w:rsidRDefault="00693967" w:rsidP="00EF515D">
            <w:pPr>
              <w:pStyle w:val="CLIN4"/>
            </w:pPr>
            <w:r w:rsidRPr="00EF515D">
              <w:t>1. Khoury JD, et al. The 5th edition of the World Health Organization Classification of Haematolymphoid Tumours: Myeloid and Histiocytic/Dendritic Neoplasms. Leukemia 2022.  2. Arber DA, et al. International Consensus Classification of Myeloid Neoplasms and Acute Leukemia: Integrating Morphological, Clinical, and Genomic Data. Blood 2022.  3. McNerney ME, et al. Therapy-related myeloid neoplasms: when genetics and environment collide. Nat Rev Cancer 2017; 17(9): 513-27.  4. Swerdlow SH CE, Harris NL, Jaffe ES, Pileri SA, Stein H, Thiele J, editor. WHO Classification of Tumours of Haematopoietic and Lymphoid Tissues (revised 4th edition). Lyon: IARC; 2017.  5. Wong TN, et al. Cellular stressors contribute to the expansion of hematop</w:t>
            </w:r>
            <w:bookmarkStart w:id="0" w:name="_GoBack"/>
            <w:bookmarkEnd w:id="0"/>
            <w:r w:rsidRPr="00EF515D">
              <w:t xml:space="preserve">oietic clones of varying leukemic potential. Nat Commun 2018; 9(1): 455.  6. Coombs CC, et al. Therapy-Related Clonal Hematopoiesis in Patients with Non-hematologic Cancers Is Common and Associated with Adverse Clinical Outcomes. Cell Stem Cell 2017; 21(3): 374-82 e4.  7. Østgård LSG, et al. Epidemiology and Clinical Significance of Secondary and Therapy-Related Acute Myeloid Leukemia: A National Population-Based Cohort Study. J Clin Oncol 2015; 33(31): 3641-9.  8. Lindsley RC, et al. Acute myeloid leukemia ontogeny is defined by distinct somatic mutations. Blood 2015; 125(9): 1367-76.  </w:t>
            </w:r>
          </w:p>
        </w:tc>
      </w:tr>
    </w:tbl>
    <w:p w:rsidR="00693967" w:rsidRPr="00A02914" w:rsidRDefault="00693967" w:rsidP="00D02B85">
      <w:pPr>
        <w:rPr>
          <w:rFonts w:ascii="Calibri" w:hAnsi="Calibri" w:cs="Calibri"/>
          <w:noProof/>
          <w:sz w:val="6"/>
          <w:szCs w:val="6"/>
        </w:rPr>
      </w:pPr>
    </w:p>
    <w:p w:rsidR="001177B3" w:rsidRDefault="001177B3"/>
    <w:sectPr w:rsidR="001177B3" w:rsidSect="00AC2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967" w:rsidRDefault="00693967" w:rsidP="00693967">
      <w:pPr>
        <w:spacing w:after="0" w:line="240" w:lineRule="auto"/>
      </w:pPr>
      <w:r>
        <w:separator/>
      </w:r>
    </w:p>
  </w:endnote>
  <w:endnote w:type="continuationSeparator" w:id="0">
    <w:p w:rsidR="00693967" w:rsidRDefault="00693967" w:rsidP="00693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967" w:rsidRDefault="00693967" w:rsidP="00693967">
      <w:pPr>
        <w:spacing w:after="0" w:line="240" w:lineRule="auto"/>
      </w:pPr>
      <w:r>
        <w:separator/>
      </w:r>
    </w:p>
  </w:footnote>
  <w:footnote w:type="continuationSeparator" w:id="0">
    <w:p w:rsidR="00693967" w:rsidRDefault="00693967" w:rsidP="00693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82BD8"/>
    <w:multiLevelType w:val="hybridMultilevel"/>
    <w:tmpl w:val="73F879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23BA"/>
    <w:multiLevelType w:val="hybridMultilevel"/>
    <w:tmpl w:val="ABBE2A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3" w15:restartNumberingAfterBreak="0">
    <w:nsid w:val="1E4B6D87"/>
    <w:multiLevelType w:val="hybridMultilevel"/>
    <w:tmpl w:val="24263994"/>
    <w:lvl w:ilvl="0" w:tplc="37BA3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661D4"/>
    <w:multiLevelType w:val="multilevel"/>
    <w:tmpl w:val="F4EC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42890"/>
    <w:multiLevelType w:val="hybridMultilevel"/>
    <w:tmpl w:val="E47E38E6"/>
    <w:lvl w:ilvl="0" w:tplc="CCD23C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A257D"/>
    <w:multiLevelType w:val="hybridMultilevel"/>
    <w:tmpl w:val="F0C2F23C"/>
    <w:lvl w:ilvl="0" w:tplc="9260FC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07AD3"/>
    <w:multiLevelType w:val="hybridMultilevel"/>
    <w:tmpl w:val="76D0A7BA"/>
    <w:lvl w:ilvl="0" w:tplc="10A88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4AC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92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E6C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FCF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3C5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94B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52B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241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3087B21"/>
    <w:multiLevelType w:val="hybridMultilevel"/>
    <w:tmpl w:val="F168AC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8"/>
  </w:num>
  <w:num w:numId="5">
    <w:abstractNumId w:val="1"/>
  </w:num>
  <w:num w:numId="6">
    <w:abstractNumId w:val="3"/>
  </w:num>
  <w:num w:numId="7">
    <w:abstractNumId w:val="0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1&lt;/Suspended&gt;&lt;/ENInstantFormat&gt;"/>
  </w:docVars>
  <w:rsids>
    <w:rsidRoot w:val="00693967"/>
    <w:rsid w:val="001177B3"/>
    <w:rsid w:val="0069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04A74E3-F218-4197-8220-289B641F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967"/>
  </w:style>
  <w:style w:type="paragraph" w:styleId="Heading1">
    <w:name w:val="heading 1"/>
    <w:basedOn w:val="Normal"/>
    <w:next w:val="Normal"/>
    <w:link w:val="Heading1Char"/>
    <w:qFormat/>
    <w:rsid w:val="00693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6939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69396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93967"/>
  </w:style>
  <w:style w:type="character" w:customStyle="1" w:styleId="Heading1Char">
    <w:name w:val="Heading 1 Char"/>
    <w:basedOn w:val="DefaultParagraphFont"/>
    <w:link w:val="Heading1"/>
    <w:rsid w:val="006939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6939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693967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93967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93967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693967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693967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693967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Cs w:val="18"/>
    </w:rPr>
  </w:style>
  <w:style w:type="character" w:customStyle="1" w:styleId="CLIN1HEADINGChar">
    <w:name w:val="CLIN1(HEADING) Char"/>
    <w:basedOn w:val="Heading1Char"/>
    <w:link w:val="CLIN1HEADING"/>
    <w:rsid w:val="00693967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693967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693967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693967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693967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693967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693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">
    <w:name w:val="EndNote Bibliography"/>
    <w:basedOn w:val="Normal"/>
    <w:link w:val="EndNoteBibliographyChar"/>
    <w:rsid w:val="00693967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693967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link w:val="NoSpacingChar"/>
    <w:uiPriority w:val="1"/>
    <w:qFormat/>
    <w:rsid w:val="00693967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93967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693967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693967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939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9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96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9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9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3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967"/>
  </w:style>
  <w:style w:type="paragraph" w:customStyle="1" w:styleId="EndNoteBibliographyTitle">
    <w:name w:val="EndNote Bibliography Title"/>
    <w:basedOn w:val="Normal"/>
    <w:link w:val="EndNoteBibliographyTitleChar"/>
    <w:rsid w:val="00693967"/>
    <w:pPr>
      <w:spacing w:after="0"/>
      <w:jc w:val="center"/>
    </w:pPr>
    <w:rPr>
      <w:rFonts w:ascii="Calibri" w:eastAsiaTheme="minorEastAsia" w:hAnsi="Calibri" w:cs="Calibri"/>
      <w:noProof/>
      <w:sz w:val="12"/>
      <w:szCs w:val="24"/>
      <w:lang w:val="en-US" w:eastAsia="zh-TW"/>
    </w:rPr>
  </w:style>
  <w:style w:type="character" w:customStyle="1" w:styleId="NoSpacingChar">
    <w:name w:val="No Spacing Char"/>
    <w:basedOn w:val="DefaultParagraphFont"/>
    <w:link w:val="NoSpacing"/>
    <w:uiPriority w:val="1"/>
    <w:rsid w:val="00693967"/>
    <w:rPr>
      <w:rFonts w:eastAsiaTheme="minorEastAsia"/>
      <w:sz w:val="24"/>
      <w:szCs w:val="24"/>
      <w:lang w:val="en-US" w:eastAsia="zh-TW"/>
    </w:rPr>
  </w:style>
  <w:style w:type="character" w:customStyle="1" w:styleId="EndNoteBibliographyTitleChar">
    <w:name w:val="EndNote Bibliography Title Char"/>
    <w:basedOn w:val="NoSpacingChar"/>
    <w:link w:val="EndNoteBibliographyTitle"/>
    <w:rsid w:val="00693967"/>
    <w:rPr>
      <w:rFonts w:ascii="Calibri" w:eastAsiaTheme="minorEastAsia" w:hAnsi="Calibri" w:cs="Calibri"/>
      <w:noProof/>
      <w:sz w:val="12"/>
      <w:szCs w:val="24"/>
      <w:lang w:val="en-US" w:eastAsia="zh-TW"/>
    </w:rPr>
  </w:style>
  <w:style w:type="paragraph" w:styleId="Revision">
    <w:name w:val="Revision"/>
    <w:hidden/>
    <w:uiPriority w:val="99"/>
    <w:semiHidden/>
    <w:rsid w:val="00693967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693967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9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9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525</Words>
  <Characters>2999</Characters>
  <Application>Microsoft Office Word</Application>
  <DocSecurity>0</DocSecurity>
  <Lines>24</Lines>
  <Paragraphs>7</Paragraphs>
  <ScaleCrop>false</ScaleCrop>
  <Company>Peter MacCallum Cancer Centre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Tiong Ing-Soo</dc:creator>
  <cp:keywords/>
  <dc:description/>
  <cp:lastModifiedBy>Tiong Ing-Soo</cp:lastModifiedBy>
  <cp:revision>1</cp:revision>
  <dcterms:created xsi:type="dcterms:W3CDTF">2023-01-11T06:35:00Z</dcterms:created>
  <dcterms:modified xsi:type="dcterms:W3CDTF">2023-01-11T06:35:00Z</dcterms:modified>
</cp:coreProperties>
</file>