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000000" w:rsidRPr="00C66355" w:rsidRDefault="00000000"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000000"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000000"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000000"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000000"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000000"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000000"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000000"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000000"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000000"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000000"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000000"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000000"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000000"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000000"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w:t>
      </w:r>
      <w:r w:rsidRPr="00C66355">
        <w:rPr>
          <w:rFonts w:cs="Arial"/>
          <w:sz w:val="18"/>
          <w:szCs w:val="18"/>
        </w:rPr>
        <w:t xml:space="preserve">genes with clinical significance in </w:t>
      </w:r>
      <w:r w:rsidRPr="00C66355">
        <w:rPr>
          <w:rFonts w:cs="Arial"/>
          <w:sz w:val="18"/>
          <w:szCs w:val="18"/>
        </w:rPr>
        <w:t>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000000"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000000"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000000"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000000" w:rsidRPr="00C66355" w:rsidRDefault="00000000" w:rsidP="00B213FD">
      <w:pPr>
        <w:tabs>
          <w:tab w:val="left" w:pos="8647"/>
          <w:tab w:val="left" w:pos="9540"/>
        </w:tabs>
        <w:spacing w:before="120" w:after="120"/>
        <w:jc w:val="both"/>
        <w:rPr>
          <w:rFonts w:cs="Arial"/>
          <w:b/>
          <w:sz w:val="16"/>
          <w:szCs w:val="16"/>
        </w:rPr>
      </w:pPr>
    </w:p>
    <w:p w14:paraId="1E83B567" w14:textId="77777777" w:rsidR="0000000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6F7F4435" w:rsidR="00000000" w:rsidRPr="00C66355" w:rsidRDefault="004B6D75"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C66355">
        <w:rPr>
          <w:rFonts w:cs="Arial"/>
          <w:sz w:val="16"/>
          <w:szCs w:val="16"/>
        </w:rPr>
        <w:t xml:space="preserve">Variants are analysed using PathOS software (Peter Mac) and described according to HGVS nomenclature version 19.01 (http://varnomen.hgvs.org/) with minor differences in accordance with Peter MacCallum Cancer Centre </w:t>
      </w:r>
      <w:r w:rsidR="00000000" w:rsidRPr="00C66355">
        <w:rPr>
          <w:rFonts w:cs="Arial"/>
          <w:sz w:val="16"/>
          <w:szCs w:val="16"/>
        </w:rPr>
        <w:t>Molecular Pathology departmental policy. The following population variation and cancer or genetic disease databases are commonly used in addition to literature review to assist with variant interpretation: the Genome Aggregation Database (gnomAD; gnomad.br</w:t>
      </w:r>
      <w:r w:rsidR="00000000" w:rsidRPr="00C66355">
        <w:rPr>
          <w:rFonts w:cs="Arial"/>
          <w:sz w:val="16"/>
          <w:szCs w:val="16"/>
        </w:rPr>
        <w:t>oadinstitute.org), the Catalogue of Somatic Mutations in Cancer (COSMIC; cancer.sanger.ac.uk), ClinVar (ncbi.nlm.nih.gov/clinvar) and the IARC TP53 Database (p53.iarc.fr). V</w:t>
      </w:r>
      <w:r w:rsidR="00000000" w:rsidRPr="00C66355">
        <w:rPr>
          <w:rFonts w:cs="Arial"/>
          <w:sz w:val="16"/>
          <w:szCs w:val="18"/>
        </w:rPr>
        <w:t xml:space="preserve">ariant origin (i.e. somatic or germline) is assumed based on ancillary information </w:t>
      </w:r>
      <w:r w:rsidR="00000000" w:rsidRPr="00C66355">
        <w:rPr>
          <w:rFonts w:cs="Arial"/>
          <w:sz w:val="16"/>
          <w:szCs w:val="18"/>
        </w:rPr>
        <w:t xml:space="preserve">(e.g. population databases, literature, variant read frequency) for the purpose of clinical interpretation. All assumed somatic variants are reported (and generally considered clinically significant). Variants of uncertain origin are also reported, as are </w:t>
      </w:r>
      <w:r w:rsidR="00000000" w:rsidRPr="00C66355">
        <w:rPr>
          <w:rFonts w:cs="Arial"/>
          <w:sz w:val="16"/>
          <w:szCs w:val="18"/>
        </w:rPr>
        <w:t>likely benign germline polymorphisms if sufficiently rare and otherwise undescribed. Testing of a non-haematological specimen may be recommended to evaluate variant origin. Recurrent population variants are not reported.</w:t>
      </w:r>
      <w:r w:rsidR="00000000" w:rsidRPr="00A777CB">
        <w:rPr>
          <w:rFonts w:cs="Arial"/>
          <w:sz w:val="16"/>
          <w:szCs w:val="18"/>
        </w:rPr>
        <w:t xml:space="preserve"> </w:t>
      </w:r>
      <w:r w:rsidR="00000000">
        <w:rPr>
          <w:rFonts w:cs="Arial"/>
          <w:sz w:val="16"/>
          <w:szCs w:val="18"/>
        </w:rPr>
        <w:t>When performed, FLT3-ITDs are teste</w:t>
      </w:r>
      <w:r w:rsidR="00000000">
        <w:rPr>
          <w:rFonts w:cs="Arial"/>
          <w:sz w:val="16"/>
          <w:szCs w:val="18"/>
        </w:rPr>
        <w:t>d for by fragment length analysis using capillary electrophoresis. The FLT3 allelic ratio is calculated by peak height ITD/peak height WT.</w:t>
      </w:r>
      <w:r w:rsidR="00000000">
        <w:t xml:space="preserve"> </w:t>
      </w:r>
      <w:r w:rsidR="00000000">
        <w:rPr>
          <w:rFonts w:cs="Arial"/>
          <w:sz w:val="16"/>
          <w:szCs w:val="18"/>
        </w:rPr>
        <w:t>The detection limit for FLT3-ITDs is approximately 1%.</w:t>
      </w:r>
    </w:p>
    <w:p w14:paraId="61045CC3" w14:textId="77777777" w:rsidR="0000000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355CE087" w:rsidR="00000000" w:rsidRPr="00BB1FED" w:rsidRDefault="00000000" w:rsidP="00B213FD">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w:t>
      </w:r>
      <w:r w:rsidRPr="00BB1FED">
        <w:rPr>
          <w:rFonts w:cs="Arial"/>
          <w:sz w:val="16"/>
          <w:szCs w:val="16"/>
        </w:rPr>
        <w:t xml:space="preserve">ns sequenced to the target read depth of </w:t>
      </w:r>
      <w:r w:rsidR="004B6D75">
        <w:rPr>
          <w:rFonts w:cs="Arial"/>
          <w:sz w:val="16"/>
          <w:szCs w:val="16"/>
        </w:rPr>
        <w:t>250</w:t>
      </w:r>
      <w:r w:rsidRPr="00BB1FED">
        <w:rPr>
          <w:rFonts w:cs="Arial"/>
          <w:sz w:val="16"/>
          <w:szCs w:val="16"/>
        </w:rPr>
        <w:t xml:space="preserve">x is a variant allele frequency (VAF) of approximately 2% with the exception of </w:t>
      </w:r>
      <w:r w:rsidRPr="00031025">
        <w:rPr>
          <w:rFonts w:cs="Arial"/>
          <w:sz w:val="16"/>
          <w:szCs w:val="16"/>
        </w:rPr>
        <w:t>ASXL1 c.1934dup;p.Gly646Trpfs*12 (detection limit ~ 5%-10%)</w:t>
      </w:r>
      <w:r w:rsidRPr="00D57A53">
        <w:rPr>
          <w:rFonts w:cs="Arial"/>
          <w:sz w:val="16"/>
          <w:szCs w:val="16"/>
        </w:rPr>
        <w:t xml:space="preserve"> and CEBPA</w:t>
      </w:r>
      <w:r w:rsidRPr="00031025">
        <w:rPr>
          <w:rFonts w:cs="Arial"/>
          <w:sz w:val="16"/>
          <w:szCs w:val="16"/>
        </w:rPr>
        <w:t xml:space="preserve"> (detection limit ~ 10%)</w:t>
      </w:r>
      <w:r w:rsidRPr="00BB1FED">
        <w:rPr>
          <w:rFonts w:cs="Arial"/>
          <w:sz w:val="16"/>
          <w:szCs w:val="16"/>
        </w:rPr>
        <w:t>. This assay is primarily qualitative h</w:t>
      </w:r>
      <w:r w:rsidRPr="00BB1FED">
        <w:rPr>
          <w:rFonts w:cs="Arial"/>
          <w:sz w:val="16"/>
          <w:szCs w:val="16"/>
        </w:rPr>
        <w:t xml:space="preserve">owever, the variant read frequency (VRF) is provided to assist with variant interpretation and is assumed to approximate VAF in most instances (noting that the VAF of some insertions/deletions may be underrepresented due to assay-based allele bias). </w:t>
      </w:r>
      <w:r w:rsidRPr="00BB1FED">
        <w:rPr>
          <w:rFonts w:cs="Arial"/>
          <w:sz w:val="16"/>
          <w:szCs w:val="16"/>
        </w:rPr>
        <w:t>Copy number variations, loss of heterozygosity, struc</w:t>
      </w:r>
      <w:r w:rsidRPr="00BB1FED">
        <w:rPr>
          <w:rFonts w:cs="Arial"/>
          <w:sz w:val="16"/>
          <w:szCs w:val="16"/>
        </w:rPr>
        <w:t>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are not reliably detected by this assay. Genes are analysed using the reference transcripts listed belo</w:t>
      </w:r>
      <w:r w:rsidRPr="00BB1FED">
        <w:rPr>
          <w:rFonts w:cs="Arial"/>
          <w:sz w:val="16"/>
          <w:szCs w:val="16"/>
        </w:rPr>
        <w:t xml:space="preserve">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w:t>
      </w:r>
      <w:r>
        <w:rPr>
          <w:rFonts w:cs="Arial"/>
          <w:sz w:val="16"/>
          <w:szCs w:val="16"/>
        </w:rPr>
        <w:t xml:space="preserve">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w:t>
      </w:r>
      <w:r w:rsidRPr="00BB1FED">
        <w:rPr>
          <w:rFonts w:cs="Arial"/>
          <w:sz w:val="16"/>
          <w:szCs w:val="16"/>
        </w:rPr>
        <w:t>ty data sources and should be interpreted in the context of all other clinical and laboratory information for this patient.</w:t>
      </w:r>
    </w:p>
    <w:p w14:paraId="452814B2" w14:textId="77777777" w:rsidR="00000000"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000000"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000000" w:rsidRDefault="00000000"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w:t>
      </w:r>
      <w:r>
        <w:rPr>
          <w:rFonts w:eastAsia="Times New Roman" w:cs="Arial"/>
          <w:szCs w:val="16"/>
        </w:rPr>
        <w:t xml:space="preserve">reliably </w:t>
      </w:r>
      <w:r>
        <w:rPr>
          <w:rFonts w:eastAsia="Times New Roman" w:cs="Arial"/>
          <w:szCs w:val="16"/>
        </w:rPr>
        <w:t xml:space="preserve">detected with this assay. A </w:t>
      </w:r>
      <w:r>
        <w:rPr>
          <w:rFonts w:eastAsia="Times New Roman" w:cs="Arial"/>
          <w:szCs w:val="16"/>
        </w:rPr>
        <w:t>separate assay may have been performed, result included in Result Summary if sample tested.</w:t>
      </w:r>
    </w:p>
    <w:p w14:paraId="0C11A641" w14:textId="77777777" w:rsidR="0000000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w:t>
      </w:r>
      <w:r w:rsidRPr="00C66355">
        <w:rPr>
          <w:rFonts w:eastAsia="Times New Roman" w:cs="Arial"/>
          <w:sz w:val="16"/>
          <w:szCs w:val="16"/>
        </w:rPr>
        <w:t>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00000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contact the labo</w:t>
      </w:r>
      <w:r w:rsidRPr="00C66355">
        <w:rPr>
          <w:rFonts w:eastAsia="Times New Roman" w:cs="Arial"/>
          <w:sz w:val="16"/>
          <w:szCs w:val="16"/>
        </w:rPr>
        <w:t xml:space="preserve">ratory on 03 8559 7284 if you wish to discuss this report further. </w:t>
      </w:r>
    </w:p>
    <w:p w14:paraId="25D91F54" w14:textId="4B44CCF2" w:rsidR="0000000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00000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1C71515F" w:rsidR="00000000"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4B6D75">
        <w:rPr>
          <w:rFonts w:eastAsia="Times New Roman" w:cs="Arial"/>
          <w:b/>
          <w:noProof/>
          <w:sz w:val="18"/>
          <w:szCs w:val="18"/>
        </w:rPr>
        <w:t>16-Sep-2024</w:t>
      </w:r>
      <w:r w:rsidRPr="00C66355">
        <w:rPr>
          <w:rFonts w:eastAsia="Times New Roman" w:cs="Arial"/>
          <w:b/>
          <w:sz w:val="18"/>
          <w:szCs w:val="18"/>
        </w:rPr>
        <w:fldChar w:fldCharType="end"/>
      </w:r>
    </w:p>
    <w:p w14:paraId="2B68D0E9" w14:textId="77777777" w:rsidR="00000000" w:rsidRPr="00C66355" w:rsidRDefault="00000000" w:rsidP="00B213FD">
      <w:pPr>
        <w:pStyle w:val="EndNoteBibliography"/>
        <w:jc w:val="both"/>
        <w:rPr>
          <w:rFonts w:eastAsia="Times New Roman"/>
          <w:b/>
          <w:noProof w:val="0"/>
          <w:szCs w:val="18"/>
        </w:rPr>
        <w:sectPr w:rsidR="00B213FD" w:rsidRPr="00C66355" w:rsidSect="001100AA">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F2352AF" w14:textId="77777777" w:rsidR="00000000" w:rsidRDefault="00000000" w:rsidP="00B213FD">
      <w:pPr>
        <w:rPr>
          <w:rFonts w:cs="Arial"/>
          <w:b/>
          <w:sz w:val="6"/>
          <w:szCs w:val="22"/>
        </w:rPr>
      </w:pPr>
    </w:p>
    <w:p w14:paraId="074C0536" w14:textId="70DBFA61" w:rsidR="00000000" w:rsidRDefault="00000000">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A109" w14:textId="77777777" w:rsidR="00306231" w:rsidRDefault="00306231">
      <w:r>
        <w:separator/>
      </w:r>
    </w:p>
  </w:endnote>
  <w:endnote w:type="continuationSeparator" w:id="0">
    <w:p w14:paraId="45B8A0F6" w14:textId="77777777" w:rsidR="00306231" w:rsidRDefault="0030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000000" w:rsidRDefault="00000000" w:rsidP="00AD585B">
    <w:pPr>
      <w:pStyle w:val="Footer"/>
      <w:ind w:right="360"/>
    </w:pPr>
  </w:p>
  <w:p w14:paraId="5592459D"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000000"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000000" w:rsidRDefault="00000000" w:rsidP="00404AFB">
    <w:pPr>
      <w:tabs>
        <w:tab w:val="left" w:pos="4646"/>
        <w:tab w:val="left" w:pos="9242"/>
      </w:tabs>
      <w:rPr>
        <w:i/>
        <w:sz w:val="10"/>
        <w:szCs w:val="10"/>
      </w:rPr>
    </w:pPr>
  </w:p>
  <w:p w14:paraId="035F7CC2" w14:textId="59F84C00" w:rsidR="00000000"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000000"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1BCA" w14:textId="77777777" w:rsidR="00306231" w:rsidRDefault="00306231">
      <w:r>
        <w:separator/>
      </w:r>
    </w:p>
  </w:footnote>
  <w:footnote w:type="continuationSeparator" w:id="0">
    <w:p w14:paraId="0ECD19F1" w14:textId="77777777" w:rsidR="00306231" w:rsidRDefault="0030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4B6D75">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4B6D75">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000000" w:rsidRDefault="00000000" w:rsidP="00F42F75">
                <w:r>
                  <w:rPr>
                    <w:noProof/>
                    <w:lang w:eastAsia="en-AU"/>
                  </w:rPr>
                  <w:drawing>
                    <wp:inline distT="0" distB="0" distL="0" distR="0" wp14:anchorId="2968FB50" wp14:editId="3B7DFE2F">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6D75">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000000" w:rsidRDefault="00000000" w:rsidP="00F42F75"/>
            </w:txbxContent>
          </v:textbox>
          <w10:wrap type="tight"/>
        </v:shape>
      </w:pict>
    </w:r>
    <w:r w:rsidRPr="003F6432">
      <w:rPr>
        <w:noProof/>
      </w:rPr>
      <w:t xml:space="preserve"> </w:t>
    </w:r>
  </w:p>
  <w:p w14:paraId="062F9C4E"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6D75"/>
    <w:rsid w:val="00306231"/>
    <w:rsid w:val="004B6D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33A84"/>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C3E0-2952-4D34-AB50-5857D4902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6E53D4-FAE4-49C9-9AAE-FB34FE365B9E}">
  <ds:schemaRefs>
    <ds:schemaRef ds:uri="http://schemas.microsoft.com/sharepoint/v3/contenttype/forms"/>
  </ds:schemaRefs>
</ds:datastoreItem>
</file>

<file path=customXml/itemProps3.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754</Words>
  <Characters>4303</Characters>
  <Application>Microsoft Office Word</Application>
  <DocSecurity>0</DocSecurity>
  <Lines>35</Lines>
  <Paragraphs>10</Paragraphs>
  <ScaleCrop>false</ScaleCrop>
  <Company>Peter MacCallum Cancer Center</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2023-10-27T07:01:00Z</dcterms:created>
  <dcterms:modified xsi:type="dcterms:W3CDTF">2024-09-16T03:40:00Z</dcterms:modified>
</cp:coreProperties>
</file>