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000000" w:rsidRPr="00B84D96" w:rsidRDefault="00000000"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000000"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000000"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000000"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000000"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000000" w:rsidRPr="00E22A7C"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000000" w:rsidRPr="00E22A7C"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000000"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000000" w:rsidRPr="00211CA9" w:rsidRDefault="00000000"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000000" w:rsidRPr="00B84D96" w:rsidRDefault="00000000"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000000" w:rsidRPr="00B84D96" w:rsidRDefault="00000000"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000000" w:rsidRPr="00211CA9" w:rsidRDefault="00000000"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000000"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000000" w:rsidRPr="00B84D96" w:rsidRDefault="00000000"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000000"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000000"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000000" w:rsidRPr="00AF664D" w:rsidRDefault="00000000"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000000" w:rsidRPr="00B84D96" w:rsidRDefault="00000000"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000000" w:rsidRDefault="00000000"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000000" w:rsidRPr="000A3DCC" w:rsidRDefault="00000000"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000000" w:rsidRPr="00B84D96" w:rsidRDefault="00000000"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172A37DC" w14:textId="77777777" w:rsidR="00000000" w:rsidRPr="00B84D96" w:rsidRDefault="00000000"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000000" w:rsidRDefault="00000000" w:rsidP="003B09E6">
      <w:pPr>
        <w:tabs>
          <w:tab w:val="left" w:pos="8647"/>
          <w:tab w:val="left" w:pos="9540"/>
        </w:tabs>
        <w:spacing w:before="120" w:after="120"/>
        <w:jc w:val="both"/>
        <w:rPr>
          <w:rFonts w:cs="Arial"/>
          <w:b/>
          <w:sz w:val="16"/>
          <w:szCs w:val="16"/>
        </w:rPr>
      </w:pPr>
    </w:p>
    <w:p w14:paraId="29284273" w14:textId="77777777" w:rsidR="00000000"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3D61C270" w:rsidR="00000000" w:rsidRPr="00B84D96" w:rsidRDefault="00000000"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E73672" w:rsidRPr="00CD28FC">
        <w:rPr>
          <w:rFonts w:cs="Arial"/>
          <w:sz w:val="16"/>
          <w:szCs w:val="16"/>
        </w:rPr>
        <w:t xml:space="preserve">Illumina </w:t>
      </w:r>
      <w:proofErr w:type="spellStart"/>
      <w:r w:rsidR="00E73672" w:rsidRPr="00CD28FC">
        <w:rPr>
          <w:rFonts w:cs="Arial"/>
          <w:sz w:val="16"/>
          <w:szCs w:val="16"/>
        </w:rPr>
        <w:t>NovaSeq</w:t>
      </w:r>
      <w:proofErr w:type="spellEnd"/>
      <w:r w:rsidR="00E73672">
        <w:rPr>
          <w:rFonts w:cs="Arial"/>
          <w:sz w:val="16"/>
          <w:szCs w:val="16"/>
        </w:rPr>
        <w:t xml:space="preserve"> </w:t>
      </w:r>
      <w:r w:rsidR="00E73672" w:rsidRPr="00CD28FC">
        <w:rPr>
          <w:rFonts w:cs="Arial"/>
          <w:sz w:val="16"/>
          <w:szCs w:val="16"/>
        </w:rPr>
        <w:t>X</w:t>
      </w:r>
      <w:r w:rsidR="00E73672">
        <w:rPr>
          <w:rFonts w:cs="Arial"/>
          <w:sz w:val="16"/>
          <w:szCs w:val="16"/>
        </w:rPr>
        <w:t xml:space="preserve"> Plus</w:t>
      </w:r>
      <w:r w:rsidR="00E73672"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w:t>
      </w:r>
      <w:r w:rsidRPr="00B84D96">
        <w:rPr>
          <w:rFonts w:cs="Arial"/>
          <w:sz w:val="16"/>
          <w:szCs w:val="16"/>
        </w:rPr>
        <w:t>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(i.e. somatic or germline) is assumed based on ancillary information (e.g. population databases, literature, variant read freque</w:t>
      </w:r>
      <w:r w:rsidRPr="00B84D96">
        <w:rPr>
          <w:rFonts w:cs="Arial"/>
          <w:sz w:val="16"/>
          <w:szCs w:val="18"/>
        </w:rPr>
        <w:t xml:space="preserv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Pr="00260F74">
        <w:rPr>
          <w:rFonts w:cs="Arial"/>
          <w:sz w:val="16"/>
          <w:szCs w:val="18"/>
        </w:rPr>
        <w:t xml:space="preserve"> When performed, FLT3-ITDs are tested for by fragment length analysis using capillary electroph</w:t>
      </w:r>
      <w:r w:rsidRPr="00260F74">
        <w:rPr>
          <w:rFonts w:cs="Arial"/>
          <w:sz w:val="16"/>
          <w:szCs w:val="18"/>
        </w:rPr>
        <w:t>oresis. The FLT3 allelic ratio is calculated by peak height ITD/peak height WT.</w:t>
      </w:r>
      <w:r w:rsidRPr="00260F74">
        <w:t xml:space="preserve"> </w:t>
      </w:r>
      <w:r w:rsidRPr="00260F74">
        <w:rPr>
          <w:rFonts w:cs="Arial"/>
          <w:sz w:val="16"/>
          <w:szCs w:val="18"/>
        </w:rPr>
        <w:t xml:space="preserve">The detection limit for FLT3-ITDs is </w:t>
      </w:r>
      <w:r w:rsidRPr="00260F74">
        <w:rPr>
          <w:rFonts w:cs="Arial"/>
          <w:sz w:val="16"/>
          <w:szCs w:val="18"/>
        </w:rPr>
        <w:t>approximately 1%.</w:t>
      </w:r>
      <w:r>
        <w:rPr>
          <w:rFonts w:cs="Arial"/>
          <w:sz w:val="16"/>
          <w:szCs w:val="18"/>
        </w:rPr>
        <w:t xml:space="preserve"> </w:t>
      </w:r>
      <w:r w:rsidRPr="00B00188">
        <w:rPr>
          <w:rFonts w:cs="Arial"/>
          <w:b/>
          <w:sz w:val="16"/>
          <w:szCs w:val="18"/>
        </w:rPr>
        <w:t xml:space="preserve">Somatic variant </w:t>
      </w:r>
      <w:r w:rsidRPr="00B620B8">
        <w:rPr>
          <w:rFonts w:cs="Arial"/>
          <w:b/>
          <w:sz w:val="16"/>
          <w:szCs w:val="18"/>
        </w:rPr>
        <w:t>categorisation (modified from AMP/ASCO/CAP guidelines [Li et al. 2017, PMID: 27993330])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w:t>
      </w:r>
      <w:r w:rsidRPr="00B84D96">
        <w:rPr>
          <w:rFonts w:cs="Arial"/>
          <w:sz w:val="16"/>
          <w:szCs w:val="18"/>
        </w:rPr>
        <w:t xml:space="preserv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w:t>
      </w:r>
      <w:r w:rsidRPr="00B84D96">
        <w:rPr>
          <w:rFonts w:cs="Arial"/>
          <w:sz w:val="16"/>
          <w:szCs w:val="18"/>
        </w:rPr>
        <w:t xml:space="preserve">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w:t>
      </w:r>
      <w:r w:rsidRPr="00B84D96">
        <w:rPr>
          <w:rFonts w:cs="Arial"/>
          <w:sz w:val="16"/>
          <w:szCs w:val="18"/>
        </w:rPr>
        <w:t>egorisations are general in nature and may not be applicable to the specific clin</w:t>
      </w:r>
      <w:r w:rsidRPr="00260F74">
        <w:rPr>
          <w:rFonts w:cs="Arial"/>
          <w:sz w:val="16"/>
          <w:szCs w:val="18"/>
        </w:rPr>
        <w:t>icopathological context of the patient.</w:t>
      </w:r>
    </w:p>
    <w:p w14:paraId="2EDFE79D" w14:textId="77777777" w:rsidR="00000000"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6FC6A532" w:rsidR="00000000" w:rsidRPr="00B84D96" w:rsidRDefault="00000000" w:rsidP="003B09E6">
      <w:pPr>
        <w:tabs>
          <w:tab w:val="left" w:pos="8647"/>
          <w:tab w:val="left" w:pos="9540"/>
        </w:tabs>
        <w:spacing w:before="120" w:after="120"/>
        <w:jc w:val="both"/>
        <w:rPr>
          <w:rFonts w:cs="Arial"/>
          <w:sz w:val="16"/>
          <w:szCs w:val="16"/>
        </w:rPr>
      </w:pPr>
      <w:r w:rsidRPr="003D299F">
        <w:rPr>
          <w:rFonts w:cs="Arial"/>
          <w:sz w:val="16"/>
          <w:szCs w:val="16"/>
        </w:rPr>
        <w:t xml:space="preserve">The detection limit of this assay for specimens sequenced to the target read depth of 250x is a variant allele </w:t>
      </w:r>
      <w:r w:rsidRPr="003D299F">
        <w:rPr>
          <w:rFonts w:cs="Arial"/>
          <w:sz w:val="16"/>
          <w:szCs w:val="16"/>
        </w:rPr>
        <w:t>frequency (VAF) of approximately 4% with the exception of JAK2 c.1849G&gt;</w:t>
      </w:r>
      <w:proofErr w:type="spellStart"/>
      <w:r w:rsidRPr="003D299F">
        <w:rPr>
          <w:rFonts w:cs="Arial"/>
          <w:sz w:val="16"/>
          <w:szCs w:val="16"/>
        </w:rPr>
        <w:t>T;p</w:t>
      </w:r>
      <w:proofErr w:type="spellEnd"/>
      <w:r w:rsidRPr="003D299F">
        <w:rPr>
          <w:rFonts w:cs="Arial"/>
          <w:sz w:val="16"/>
          <w:szCs w:val="16"/>
        </w:rPr>
        <w:t xml:space="preserve">.(Val617Phe) (detection limit ~ 1%). This assay is primarily qualitative however, the variant read </w:t>
      </w:r>
      <w:r w:rsidRPr="003D299F">
        <w:rPr>
          <w:rFonts w:cs="Arial"/>
          <w:sz w:val="16"/>
          <w:szCs w:val="16"/>
        </w:rPr>
        <w:lastRenderedPageBreak/>
        <w:t>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w:t>
      </w:r>
      <w:r w:rsidRPr="003D299F">
        <w:rPr>
          <w:rFonts w:cs="Arial"/>
          <w:sz w:val="16"/>
          <w:szCs w:val="16"/>
        </w:rPr>
        <w: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w:t>
      </w:r>
      <w:r w:rsidRPr="003D299F">
        <w:rPr>
          <w:rFonts w:cs="Arial"/>
          <w:sz w:val="16"/>
          <w:szCs w:val="16"/>
        </w:rPr>
        <w:t>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EE345BD" w14:textId="77777777" w:rsidR="00000000" w:rsidRPr="00B84D96" w:rsidRDefault="00000000"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000000" w:rsidRPr="00B84D96" w:rsidRDefault="00000000"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000000" w:rsidRPr="00260F74" w:rsidRDefault="00000000"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000000" w:rsidRPr="00B84D96" w:rsidRDefault="00000000"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1BB9133" w14:textId="77777777" w:rsidR="00000000" w:rsidRPr="00B84D96" w:rsidRDefault="00000000"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000000"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000000"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614958CB" w:rsidR="00000000" w:rsidRPr="00722EA6" w:rsidRDefault="00000000"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E73672">
        <w:rPr>
          <w:rFonts w:eastAsia="Times New Roman" w:cs="Arial"/>
          <w:b/>
          <w:noProof/>
          <w:sz w:val="18"/>
          <w:szCs w:val="18"/>
        </w:rPr>
        <w:t>4-Mar-2025</w:t>
      </w:r>
      <w:r w:rsidRPr="00B84D96">
        <w:rPr>
          <w:rFonts w:eastAsia="Times New Roman" w:cs="Arial"/>
          <w:b/>
          <w:sz w:val="18"/>
          <w:szCs w:val="18"/>
        </w:rPr>
        <w:fldChar w:fldCharType="end"/>
      </w:r>
    </w:p>
    <w:p w14:paraId="6C391404" w14:textId="77777777" w:rsidR="00000000" w:rsidRPr="00C66355" w:rsidRDefault="00000000" w:rsidP="003B09E6">
      <w:pPr>
        <w:pStyle w:val="EndNoteBibliography"/>
        <w:jc w:val="both"/>
        <w:rPr>
          <w:rFonts w:eastAsia="Times New Roman"/>
          <w:b/>
          <w:noProof w:val="0"/>
          <w:szCs w:val="18"/>
        </w:rPr>
        <w:sectPr w:rsidR="007B14E6"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000000" w:rsidRDefault="00000000" w:rsidP="003B09E6">
      <w:pPr>
        <w:rPr>
          <w:rFonts w:cs="Arial"/>
          <w:b/>
          <w:sz w:val="6"/>
          <w:szCs w:val="22"/>
        </w:rPr>
      </w:pPr>
    </w:p>
    <w:p w14:paraId="71A473A4" w14:textId="6AA46889" w:rsidR="00000000" w:rsidRDefault="00000000">
      <w:r>
        <w:rPr>
          <w:rFonts w:cs="Arial"/>
          <w:b/>
          <w:sz w:val="20"/>
          <w:szCs w:val="20"/>
        </w:rPr>
        <w:t>CLINICAL_CONTEXT_IN</w:t>
      </w:r>
    </w:p>
    <w:sectPr w:rsidR="007B14E6"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2FDB" w14:textId="77777777" w:rsidR="007174D2" w:rsidRDefault="007174D2">
      <w:r>
        <w:separator/>
      </w:r>
    </w:p>
  </w:endnote>
  <w:endnote w:type="continuationSeparator" w:id="0">
    <w:p w14:paraId="1E789F2D" w14:textId="77777777" w:rsidR="007174D2" w:rsidRDefault="0071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000000" w:rsidRDefault="00000000" w:rsidP="00AD585B">
    <w:pPr>
      <w:pStyle w:val="Footer"/>
      <w:ind w:right="360"/>
    </w:pPr>
  </w:p>
  <w:p w14:paraId="1080020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000000" w:rsidRDefault="00000000"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000000" w:rsidRDefault="00000000" w:rsidP="00CD41DB">
    <w:pPr>
      <w:tabs>
        <w:tab w:val="left" w:pos="4646"/>
        <w:tab w:val="left" w:pos="9242"/>
      </w:tabs>
      <w:rPr>
        <w:iCs/>
        <w:sz w:val="10"/>
        <w:szCs w:val="10"/>
      </w:rPr>
    </w:pPr>
  </w:p>
  <w:p w14:paraId="3A90C456" w14:textId="48D25876" w:rsidR="00000000" w:rsidRPr="00C228FE" w:rsidRDefault="00000000"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000000" w:rsidRPr="00CD41DB" w:rsidRDefault="00000000"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8765" w14:textId="77777777" w:rsidR="007174D2" w:rsidRDefault="007174D2">
      <w:r>
        <w:separator/>
      </w:r>
    </w:p>
  </w:footnote>
  <w:footnote w:type="continuationSeparator" w:id="0">
    <w:p w14:paraId="3167B4C5" w14:textId="77777777" w:rsidR="007174D2" w:rsidRDefault="00717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000000" w:rsidRDefault="00000000" w:rsidP="00F42F75">
                <w:r>
                  <w:rPr>
                    <w:noProof/>
                    <w:lang w:eastAsia="en-AU"/>
                  </w:rPr>
                  <w:drawing>
                    <wp:inline distT="0" distB="0" distL="0" distR="0" wp14:anchorId="61BA50CC" wp14:editId="43BA96B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000000" w:rsidRDefault="00000000" w:rsidP="00F42F75"/>
            </w:txbxContent>
          </v:textbox>
          <w10:wrap type="tight"/>
        </v:shape>
      </w:pict>
    </w:r>
    <w:r w:rsidRPr="003F6432">
      <w:rPr>
        <w:noProof/>
      </w:rPr>
      <w:t xml:space="preserve"> </w:t>
    </w:r>
  </w:p>
  <w:p w14:paraId="7AED9893"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3BF2"/>
    <w:rsid w:val="00243BF2"/>
    <w:rsid w:val="007174D2"/>
    <w:rsid w:val="00BB523F"/>
    <w:rsid w:val="00E73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EBB0A1-F90D-42D4-9937-130A66E07EF7}">
  <ds:schemaRefs>
    <ds:schemaRef ds:uri="http://schemas.microsoft.com/sharepoint/v3/contenttype/forms"/>
  </ds:schemaRefs>
</ds:datastoreItem>
</file>

<file path=customXml/itemProps2.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3.xml><?xml version="1.0" encoding="utf-8"?>
<ds:datastoreItem xmlns:ds="http://schemas.openxmlformats.org/officeDocument/2006/customXml" ds:itemID="{87772101-19A6-4290-B88B-A779C443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1074</Words>
  <Characters>6122</Characters>
  <Application>Microsoft Office Word</Application>
  <DocSecurity>0</DocSecurity>
  <Lines>51</Lines>
  <Paragraphs>14</Paragraphs>
  <ScaleCrop>false</ScaleCrop>
  <Company>Peter MacCallum Cancer Center</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22</cp:revision>
  <dcterms:created xsi:type="dcterms:W3CDTF">2023-10-27T07:02:00Z</dcterms:created>
  <dcterms:modified xsi:type="dcterms:W3CDTF">2025-03-04T09:58:00Z</dcterms:modified>
</cp:coreProperties>
</file>