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4387" w14:textId="77777777" w:rsidR="00000000" w:rsidRPr="00160CDB" w:rsidRDefault="00000000" w:rsidP="00D05A0E">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05A0E" w:rsidRPr="00160CDB" w14:paraId="21561D17" w14:textId="77777777" w:rsidTr="004B7F36">
        <w:trPr>
          <w:jc w:val="center"/>
        </w:trPr>
        <w:tc>
          <w:tcPr>
            <w:tcW w:w="3397" w:type="dxa"/>
            <w:shd w:val="clear" w:color="auto" w:fill="auto"/>
            <w:vAlign w:val="center"/>
          </w:tcPr>
          <w:p w14:paraId="6BC778FE" w14:textId="77777777" w:rsidR="00000000" w:rsidRPr="00160CDB" w:rsidRDefault="00000000" w:rsidP="004B7F36">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E799824" w14:textId="77777777" w:rsidR="00000000" w:rsidRPr="00160CDB" w:rsidRDefault="00000000" w:rsidP="004B7F36">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9CE7E42" w14:textId="77777777" w:rsidR="00000000" w:rsidRPr="00160CDB" w:rsidRDefault="00000000" w:rsidP="004B7F36">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1CE9A60" w14:textId="77777777" w:rsidR="00000000" w:rsidRPr="00160CDB" w:rsidRDefault="00000000" w:rsidP="004B7F3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04F3AB" w14:textId="77777777" w:rsidR="00000000" w:rsidRPr="00160CDB" w:rsidRDefault="00000000" w:rsidP="004B7F36">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F04DA10" w14:textId="77777777" w:rsidR="00000000" w:rsidRPr="00160CDB" w:rsidRDefault="00000000" w:rsidP="004B7F36">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82E7ACC" w14:textId="77777777" w:rsidR="00000000" w:rsidRPr="00160CDB" w:rsidRDefault="00000000" w:rsidP="004B7F36">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29958F" w14:textId="77777777" w:rsidR="00000000" w:rsidRPr="00160CDB" w:rsidRDefault="00000000" w:rsidP="004B7F36">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285B8AA8" w14:textId="77777777" w:rsidR="00000000" w:rsidRPr="00AE4561" w:rsidRDefault="00000000" w:rsidP="004B7F3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5AE324AC" w14:textId="77777777" w:rsidR="00000000" w:rsidRDefault="00000000" w:rsidP="004B7F36">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702CBED" w14:textId="77777777" w:rsidR="00000000" w:rsidRPr="00160CDB" w:rsidRDefault="00000000" w:rsidP="004B7F3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FA6B499" w14:textId="77777777" w:rsidR="00000000" w:rsidRPr="00A11A15" w:rsidRDefault="00000000" w:rsidP="00D05A0E">
      <w:pPr>
        <w:tabs>
          <w:tab w:val="left" w:pos="2127"/>
          <w:tab w:val="left" w:pos="9540"/>
        </w:tabs>
        <w:spacing w:before="120" w:after="120"/>
        <w:ind w:left="2127" w:right="-8" w:hanging="2127"/>
        <w:jc w:val="center"/>
        <w:rPr>
          <w:rFonts w:eastAsia="Times New Roman" w:cs="Arial"/>
          <w:b/>
          <w:color w:val="FF0000"/>
          <w:sz w:val="18"/>
          <w:szCs w:val="18"/>
        </w:rPr>
      </w:pPr>
      <w:r w:rsidRPr="00A11A15">
        <w:rPr>
          <w:rFonts w:eastAsia="Times New Roman" w:cs="Arial"/>
          <w:b/>
          <w:color w:val="FF0000"/>
          <w:sz w:val="18"/>
          <w:szCs w:val="18"/>
        </w:rPr>
        <w:t>COMMENT_IN</w:t>
      </w:r>
    </w:p>
    <w:p w14:paraId="396B4918" w14:textId="77777777" w:rsidR="00000000" w:rsidRPr="00160CDB" w:rsidRDefault="00000000" w:rsidP="00D05A0E">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3DFECC4" w14:textId="77777777" w:rsidR="00000000" w:rsidRPr="00A11A15" w:rsidRDefault="00000000" w:rsidP="00D05A0E">
      <w:pPr>
        <w:tabs>
          <w:tab w:val="left" w:pos="2127"/>
          <w:tab w:val="left" w:pos="5245"/>
          <w:tab w:val="left" w:pos="9540"/>
        </w:tabs>
        <w:spacing w:before="120" w:after="120"/>
        <w:ind w:left="2127" w:right="-8" w:hanging="2127"/>
        <w:jc w:val="both"/>
        <w:rPr>
          <w:rFonts w:cs="Arial"/>
          <w:sz w:val="18"/>
          <w:szCs w:val="18"/>
        </w:rPr>
      </w:pPr>
      <w:r w:rsidRPr="00A11A15">
        <w:rPr>
          <w:rFonts w:eastAsia="Times New Roman" w:cs="Arial"/>
          <w:b/>
          <w:sz w:val="18"/>
          <w:szCs w:val="18"/>
        </w:rPr>
        <w:t>Specimen Details</w:t>
      </w:r>
      <w:r>
        <w:rPr>
          <w:rFonts w:eastAsia="Times New Roman" w:cs="Arial"/>
          <w:b/>
          <w:sz w:val="18"/>
          <w:szCs w:val="18"/>
        </w:rPr>
        <w:tab/>
      </w:r>
      <w:r w:rsidRPr="00A11A15">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05A0E" w:rsidRPr="00160CDB" w14:paraId="1187EEE6" w14:textId="77777777" w:rsidTr="004B7F36">
        <w:trPr>
          <w:jc w:val="center"/>
        </w:trPr>
        <w:tc>
          <w:tcPr>
            <w:tcW w:w="10191" w:type="dxa"/>
            <w:shd w:val="clear" w:color="auto" w:fill="411E75"/>
            <w:vAlign w:val="center"/>
          </w:tcPr>
          <w:p w14:paraId="208B0D3F" w14:textId="77777777" w:rsidR="00000000" w:rsidRPr="00160CDB" w:rsidRDefault="00000000" w:rsidP="004B7F36">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26E4AC32" w14:textId="4042FB9D" w:rsidR="00000000" w:rsidRPr="00160CDB" w:rsidRDefault="00000000" w:rsidP="00D05A0E">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79</w:t>
      </w:r>
      <w:r w:rsidRPr="00160CDB">
        <w:rPr>
          <w:rFonts w:cs="Arial"/>
          <w:sz w:val="18"/>
          <w:szCs w:val="18"/>
        </w:rPr>
        <w:t xml:space="preserve"> </w:t>
      </w:r>
      <w:r w:rsidRPr="00160CDB">
        <w:rPr>
          <w:rFonts w:cs="Arial"/>
          <w:sz w:val="18"/>
          <w:szCs w:val="18"/>
        </w:rPr>
        <w:t xml:space="preserve">genes with clinical significance in haematological malignancy. Refer to Panel Summary for gene </w:t>
      </w:r>
      <w:r w:rsidRPr="00160CDB">
        <w:rPr>
          <w:rFonts w:cs="Arial"/>
          <w:sz w:val="18"/>
          <w:szCs w:val="18"/>
        </w:rPr>
        <w:t>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05A0E" w:rsidRPr="00160CDB" w14:paraId="3B754EF8" w14:textId="77777777" w:rsidTr="004B7F36">
        <w:trPr>
          <w:jc w:val="center"/>
        </w:trPr>
        <w:tc>
          <w:tcPr>
            <w:tcW w:w="10191" w:type="dxa"/>
            <w:tcBorders>
              <w:top w:val="nil"/>
              <w:left w:val="nil"/>
              <w:bottom w:val="nil"/>
              <w:right w:val="nil"/>
            </w:tcBorders>
            <w:shd w:val="clear" w:color="auto" w:fill="CFCCD6"/>
            <w:vAlign w:val="center"/>
          </w:tcPr>
          <w:p w14:paraId="2DAECE4F" w14:textId="77777777" w:rsidR="00000000" w:rsidRPr="00160CDB" w:rsidRDefault="00000000" w:rsidP="004B7F36">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r w:rsidRPr="00160CDB">
              <w:rPr>
                <w:rFonts w:cs="Arial"/>
                <w:b/>
                <w:sz w:val="18"/>
                <w:szCs w:val="18"/>
              </w:rPr>
              <w:t>.</w:t>
            </w:r>
            <w:r w:rsidRPr="00160CDB">
              <w:rPr>
                <w:rFonts w:cs="Arial"/>
                <w:sz w:val="18"/>
                <w:szCs w:val="18"/>
              </w:rPr>
              <w:t xml:space="preserve"> </w:t>
            </w:r>
            <w:r>
              <w:rPr>
                <w:rFonts w:cs="Arial"/>
                <w:sz w:val="18"/>
                <w:szCs w:val="18"/>
              </w:rPr>
              <w:t>RESULTS_SUMMARY_IN</w:t>
            </w:r>
            <w:r w:rsidRPr="00160CDB">
              <w:rPr>
                <w:rFonts w:eastAsia="Times New Roman" w:cs="Arial"/>
                <w:color w:val="000000"/>
                <w:sz w:val="18"/>
                <w:szCs w:val="18"/>
              </w:rPr>
              <w:t xml:space="preserve"> See comment below regarding the test limitations of cell free DNA analysis.</w:t>
            </w:r>
          </w:p>
          <w:p w14:paraId="262D85DE" w14:textId="77777777" w:rsidR="00000000" w:rsidRPr="00160CDB" w:rsidRDefault="00000000" w:rsidP="004B7F36">
            <w:pPr>
              <w:spacing w:before="120" w:after="120"/>
              <w:ind w:left="2018" w:right="-8" w:hanging="2023"/>
              <w:jc w:val="both"/>
              <w:rPr>
                <w:rFonts w:cs="Arial"/>
                <w:b/>
                <w:sz w:val="18"/>
                <w:szCs w:val="18"/>
              </w:rPr>
            </w:pPr>
            <w:r w:rsidRPr="00D73927">
              <w:rPr>
                <w:rFonts w:cs="Arial"/>
                <w:b/>
                <w:sz w:val="18"/>
                <w:szCs w:val="18"/>
              </w:rPr>
              <w:t>Clinical Interpretation</w:t>
            </w:r>
            <w:r w:rsidRPr="00DE6ACE">
              <w:rPr>
                <w:rFonts w:cs="Arial"/>
                <w:b/>
                <w:color w:val="FF0000"/>
                <w:sz w:val="18"/>
                <w:szCs w:val="18"/>
              </w:rPr>
              <w:tab/>
            </w:r>
            <w:r w:rsidRPr="00A61029">
              <w:rPr>
                <w:rFonts w:cs="Arial"/>
                <w:sz w:val="18"/>
                <w:szCs w:val="18"/>
              </w:rPr>
              <w:t>CLINICAL_INTERPRETATION1_IN</w:t>
            </w:r>
          </w:p>
        </w:tc>
      </w:tr>
    </w:tbl>
    <w:p w14:paraId="1E635836" w14:textId="77777777" w:rsidR="00000000" w:rsidRPr="00160CDB" w:rsidRDefault="00000000" w:rsidP="00D05A0E">
      <w:pPr>
        <w:tabs>
          <w:tab w:val="left" w:pos="8647"/>
          <w:tab w:val="left" w:pos="9540"/>
        </w:tabs>
        <w:spacing w:before="120" w:after="120"/>
        <w:jc w:val="both"/>
        <w:rPr>
          <w:rFonts w:cs="Arial"/>
          <w:b/>
          <w:sz w:val="16"/>
          <w:szCs w:val="16"/>
        </w:rPr>
      </w:pPr>
    </w:p>
    <w:p w14:paraId="643BDA78" w14:textId="77777777" w:rsidR="00000000" w:rsidRPr="00160CDB" w:rsidRDefault="00000000"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6739190A" w14:textId="5782FB1B" w:rsidR="00000000" w:rsidRPr="00160CDB" w:rsidRDefault="009F42C8" w:rsidP="00D05A0E">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r>
        <w:rPr>
          <w:rFonts w:cs="Arial"/>
          <w:sz w:val="16"/>
          <w:szCs w:val="16"/>
        </w:rPr>
        <w:t>NovaSeq 6000</w:t>
      </w:r>
      <w:r w:rsidRPr="00160CDB">
        <w:rPr>
          <w:rFonts w:cs="Arial"/>
          <w:sz w:val="16"/>
          <w:szCs w:val="16"/>
        </w:rPr>
        <w:t xml:space="preserve"> with 150 bp paired end reads. </w:t>
      </w:r>
      <w:bookmarkStart w:id="0" w:name="_Hlk177382982"/>
      <w:r w:rsidRPr="005971C3">
        <w:rPr>
          <w:rFonts w:cs="Arial"/>
          <w:sz w:val="16"/>
          <w:szCs w:val="16"/>
        </w:rPr>
        <w:t>A custom Seqliner/Nextflow-based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00000000"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w:t>
      </w:r>
      <w:r w:rsidR="00000000" w:rsidRPr="00160CDB">
        <w:rPr>
          <w:rFonts w:cs="Arial"/>
          <w:sz w:val="16"/>
          <w:szCs w:val="16"/>
        </w:rPr>
        <w:t>logy departmental policy. The following population variation and cancer or genetic disease databases are commonly used in addition to literature review to assist with variant interpretation: the Genome Aggregation Database (gnomAD; gnomad.broadinstitute.or</w:t>
      </w:r>
      <w:r w:rsidR="00000000" w:rsidRPr="00160CDB">
        <w:rPr>
          <w:rFonts w:cs="Arial"/>
          <w:sz w:val="16"/>
          <w:szCs w:val="16"/>
        </w:rPr>
        <w:t>g), the Catalogue of Somatic Mutations in Cancer (COSMIC; cancer.sanger.ac.uk), ClinVar (ncbi.nlm.nih.gov/clinvar) and the IARC TP53 Database (p53.iarc.fr). V</w:t>
      </w:r>
      <w:r w:rsidR="00000000" w:rsidRPr="00160CDB">
        <w:rPr>
          <w:rFonts w:cs="Arial"/>
          <w:sz w:val="16"/>
          <w:szCs w:val="18"/>
        </w:rPr>
        <w:t>ariant origin (i.e. somatic or germline) is assumed based on ancillary information (e.g. populatio</w:t>
      </w:r>
      <w:r w:rsidR="00000000" w:rsidRPr="00160CDB">
        <w:rPr>
          <w:rFonts w:cs="Arial"/>
          <w:sz w:val="16"/>
          <w:szCs w:val="18"/>
        </w:rPr>
        <w:t>n databases, literature, variant read frequency) for the purpose of clinical interpretation. All assumed somatic variants are reported (and generally considered clinically significant). Variants of uncertain origin are also reported, as are likely benign g</w:t>
      </w:r>
      <w:r w:rsidR="00000000" w:rsidRPr="00160CDB">
        <w:rPr>
          <w:rFonts w:cs="Arial"/>
          <w:sz w:val="16"/>
          <w:szCs w:val="18"/>
        </w:rPr>
        <w:t>ermline polymorphisms if sufficiently rare and otherwise undescribed. Testing of a non-haematological specimen may be recommended to evaluate variant origin. Recurrent population variants are not reported.</w:t>
      </w:r>
    </w:p>
    <w:p w14:paraId="1482809C" w14:textId="77777777" w:rsidR="00000000" w:rsidRPr="00160CDB" w:rsidRDefault="00000000"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D8C8A54" w14:textId="6DA7699B" w:rsidR="00000000" w:rsidRPr="00D06C2B" w:rsidRDefault="00000000" w:rsidP="00D05A0E">
      <w:pPr>
        <w:tabs>
          <w:tab w:val="left" w:pos="8647"/>
          <w:tab w:val="left" w:pos="9540"/>
        </w:tabs>
        <w:spacing w:before="120" w:after="120"/>
        <w:jc w:val="both"/>
        <w:rPr>
          <w:rFonts w:cs="Arial"/>
          <w:sz w:val="16"/>
          <w:szCs w:val="16"/>
        </w:rPr>
      </w:pPr>
      <w:r w:rsidRPr="00160CDB">
        <w:rPr>
          <w:rFonts w:cs="Arial"/>
          <w:sz w:val="16"/>
          <w:szCs w:val="16"/>
        </w:rPr>
        <w:t>The detection limit of this assay</w:t>
      </w:r>
      <w:r w:rsidRPr="00160CDB">
        <w:rPr>
          <w:rFonts w:cs="Arial"/>
          <w:sz w:val="16"/>
          <w:szCs w:val="16"/>
        </w:rPr>
        <w:t xml:space="preserve"> for specimens sequenced to the target read depth of </w:t>
      </w:r>
      <w:r w:rsidR="009F42C8">
        <w:rPr>
          <w:rFonts w:cs="Arial"/>
          <w:sz w:val="16"/>
          <w:szCs w:val="16"/>
        </w:rPr>
        <w:t>250</w:t>
      </w:r>
      <w:r w:rsidRPr="00160CDB">
        <w:rPr>
          <w:rFonts w:cs="Arial"/>
          <w:sz w:val="16"/>
          <w:szCs w:val="16"/>
        </w:rPr>
        <w:t xml:space="preserve">x is a variant allele frequency (VAF) of approximately 2% with the exception of </w:t>
      </w:r>
      <w:r w:rsidRPr="00031025">
        <w:rPr>
          <w:rFonts w:cs="Arial"/>
          <w:sz w:val="16"/>
          <w:szCs w:val="16"/>
        </w:rPr>
        <w:t>ASXL1 c.1934dup;p.Gly646Trpfs*12 (detection limit ~ 5%-10%)</w:t>
      </w:r>
      <w:r w:rsidRPr="004B133F">
        <w:rPr>
          <w:rFonts w:cs="Arial"/>
          <w:sz w:val="16"/>
          <w:szCs w:val="16"/>
        </w:rPr>
        <w:t xml:space="preserve"> and CEBPA</w:t>
      </w:r>
      <w:r w:rsidRPr="00031025">
        <w:rPr>
          <w:rFonts w:cs="Arial"/>
          <w:sz w:val="16"/>
          <w:szCs w:val="16"/>
        </w:rPr>
        <w:t xml:space="preserve"> (detection limit ~ 10%)</w:t>
      </w:r>
      <w:r w:rsidRPr="00160CDB">
        <w:rPr>
          <w:rFonts w:cs="Arial"/>
          <w:sz w:val="16"/>
          <w:szCs w:val="16"/>
        </w:rPr>
        <w:t>. This assay is primarily q</w:t>
      </w:r>
      <w:r w:rsidRPr="00160CDB">
        <w:rPr>
          <w:rFonts w:cs="Arial"/>
          <w:sz w:val="16"/>
          <w:szCs w:val="16"/>
        </w:rPr>
        <w:t>ualitative however, the variant read frequency (VRF) is provided to assist with variant interpretation and is assumed to approximate VAF in most instances (noting that the VAF of some insertions/deletions may be underrepresented due to assay-based allele b</w:t>
      </w:r>
      <w:r w:rsidRPr="00160CDB">
        <w:rPr>
          <w:rFonts w:cs="Arial"/>
          <w:sz w:val="16"/>
          <w:szCs w:val="16"/>
        </w:rPr>
        <w:t xml:space="preserve">ias). </w:t>
      </w:r>
      <w:r w:rsidRPr="00160CDB">
        <w:rPr>
          <w:rFonts w:cs="Arial"/>
          <w:sz w:val="16"/>
          <w:szCs w:val="16"/>
        </w:rPr>
        <w:t>Copy number variations, loss of heterozyg</w:t>
      </w:r>
      <w:r w:rsidRPr="00160CDB">
        <w:rPr>
          <w:rFonts w:cs="Arial"/>
          <w:sz w:val="16"/>
          <w:szCs w:val="16"/>
        </w:rPr>
        <w:t>osity, structural rearrangements or aneuploidies are not reported. Insertions or deletions (particularly those &gt; 25 bp in length</w:t>
      </w:r>
      <w:r>
        <w:rPr>
          <w:rFonts w:cs="Arial"/>
          <w:sz w:val="16"/>
          <w:szCs w:val="16"/>
        </w:rPr>
        <w:t>)</w:t>
      </w:r>
      <w:r w:rsidRPr="00160CDB">
        <w:rPr>
          <w:rFonts w:cs="Arial"/>
          <w:sz w:val="16"/>
          <w:szCs w:val="16"/>
        </w:rPr>
        <w:t>, including FLT3-ITDs</w:t>
      </w:r>
      <w:r>
        <w:rPr>
          <w:rFonts w:cs="Arial"/>
          <w:sz w:val="16"/>
          <w:szCs w:val="16"/>
        </w:rPr>
        <w:t xml:space="preserve"> and UBTF-TDs</w:t>
      </w:r>
      <w:r w:rsidRPr="00160CDB">
        <w:rPr>
          <w:rFonts w:cs="Arial"/>
          <w:sz w:val="16"/>
          <w:szCs w:val="16"/>
        </w:rPr>
        <w:t>, are not reliably detected by this assay. Genes are analysed using the reference transcripts</w:t>
      </w:r>
      <w:r w:rsidRPr="00160CDB">
        <w:rPr>
          <w:rFonts w:cs="Arial"/>
          <w:sz w:val="16"/>
          <w:szCs w:val="16"/>
        </w:rPr>
        <w:t xml:space="preserve"> listed below; coding exons found in alternative transcripts are not assessed by this assay. This assay does not distinguish between somatic and germline variants. </w:t>
      </w:r>
      <w:r>
        <w:rPr>
          <w:rFonts w:cs="Arial"/>
          <w:sz w:val="16"/>
          <w:szCs w:val="16"/>
        </w:rPr>
        <w:t>In addition, the clonal origin of somatic variants (i.e. disease compartment or cell lineage</w:t>
      </w:r>
      <w:r>
        <w:rPr>
          <w:rFonts w:cs="Arial"/>
          <w:sz w:val="16"/>
          <w:szCs w:val="16"/>
        </w:rPr>
        <w:t xml:space="preserve">) cannot be determined. </w:t>
      </w:r>
      <w:r w:rsidRPr="001002FC">
        <w:rPr>
          <w:rFonts w:cs="Arial"/>
          <w:sz w:val="16"/>
          <w:szCs w:val="16"/>
        </w:rPr>
        <w:t>Sy</w:t>
      </w:r>
      <w:r w:rsidRPr="00160CDB">
        <w:rPr>
          <w:rFonts w:cs="Arial"/>
          <w:sz w:val="16"/>
          <w:szCs w:val="16"/>
        </w:rPr>
        <w:t>nonymous variants are not routinely reported. Please note Peter Mac assumes sample identification, family relationships, and clinical diagnoses are as stated on the request. Our clinical recommendations may be based on evidence fr</w:t>
      </w:r>
      <w:r w:rsidRPr="00160CDB">
        <w:rPr>
          <w:rFonts w:cs="Arial"/>
          <w:sz w:val="16"/>
          <w:szCs w:val="16"/>
        </w:rPr>
        <w:t xml:space="preserve">om third-party data sources and should be interpreted in the context of all other clinical and </w:t>
      </w:r>
      <w:r w:rsidRPr="00D06C2B">
        <w:rPr>
          <w:rFonts w:cs="Arial"/>
          <w:sz w:val="16"/>
          <w:szCs w:val="16"/>
        </w:rPr>
        <w:t>laboratory information for this patient.</w:t>
      </w:r>
    </w:p>
    <w:p w14:paraId="43A3B86B" w14:textId="77777777" w:rsidR="00000000" w:rsidRPr="00160CDB" w:rsidRDefault="00000000" w:rsidP="00D05A0E">
      <w:pPr>
        <w:tabs>
          <w:tab w:val="left" w:pos="8647"/>
          <w:tab w:val="left" w:pos="9540"/>
        </w:tabs>
        <w:spacing w:before="120" w:after="120"/>
        <w:jc w:val="both"/>
        <w:rPr>
          <w:rFonts w:cs="Arial"/>
          <w:b/>
          <w:sz w:val="16"/>
          <w:szCs w:val="16"/>
        </w:rPr>
      </w:pPr>
      <w:r w:rsidRPr="00D06C2B">
        <w:rPr>
          <w:rFonts w:cs="Arial"/>
          <w:b/>
          <w:sz w:val="16"/>
          <w:szCs w:val="16"/>
        </w:rPr>
        <w:t>Please note the quantity of tumour derived cell free DNA within this sample is unknown. In addition, the profile of muta</w:t>
      </w:r>
      <w:r w:rsidRPr="00D06C2B">
        <w:rPr>
          <w:rFonts w:cs="Arial"/>
          <w:b/>
          <w:sz w:val="16"/>
          <w:szCs w:val="16"/>
        </w:rPr>
        <w:t xml:space="preserve">tions present within the cell free DNA compartment may differ from that in any given individually assessed tumour sample. Therefore a negative result, or the absence of detection of a particular mutation does not imply its absence from all tumour sites in </w:t>
      </w:r>
      <w:r w:rsidRPr="00D06C2B">
        <w:rPr>
          <w:rFonts w:cs="Arial"/>
          <w:b/>
          <w:sz w:val="16"/>
          <w:szCs w:val="16"/>
        </w:rPr>
        <w:t>the patient</w:t>
      </w:r>
      <w:r>
        <w:rPr>
          <w:rFonts w:cs="Arial"/>
          <w:b/>
          <w:sz w:val="16"/>
          <w:szCs w:val="16"/>
        </w:rPr>
        <w:t xml:space="preserve"> </w:t>
      </w:r>
      <w:r w:rsidRPr="0000607E">
        <w:rPr>
          <w:rFonts w:cs="Arial"/>
          <w:b/>
          <w:sz w:val="16"/>
          <w:szCs w:val="16"/>
        </w:rPr>
        <w:t>(Blombery et al. 2018, PMID: 28880377)</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7AE6BD1B" w14:textId="77777777" w:rsidR="00000000" w:rsidRPr="00160CDB" w:rsidRDefault="00000000" w:rsidP="00D05A0E">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0F1A5A8" w14:textId="77777777" w:rsidR="00000000" w:rsidRPr="00160CDB" w:rsidRDefault="00000000" w:rsidP="00D05A0E">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516CC06C" w14:textId="2E72463E" w:rsidR="00000000" w:rsidRPr="00160CDB" w:rsidRDefault="00000000" w:rsidP="00D05A0E">
      <w:pPr>
        <w:tabs>
          <w:tab w:val="left" w:pos="8647"/>
          <w:tab w:val="left" w:pos="9540"/>
        </w:tabs>
        <w:spacing w:after="120"/>
        <w:jc w:val="both"/>
        <w:rPr>
          <w:rFonts w:eastAsia="Times New Roman" w:cs="Arial"/>
          <w:szCs w:val="16"/>
        </w:rPr>
      </w:pPr>
      <w:r>
        <w:rPr>
          <w:rFonts w:eastAsia="Times New Roman" w:cs="Arial"/>
          <w:szCs w:val="16"/>
        </w:rPr>
        <w:t>*</w:t>
      </w:r>
      <w:r w:rsidRPr="00160CDB">
        <w:rPr>
          <w:rFonts w:eastAsia="Times New Roman" w:cs="Arial"/>
          <w:szCs w:val="16"/>
        </w:rPr>
        <w:t xml:space="preserve"> Please note FLT3-ITDs a</w:t>
      </w:r>
      <w:r>
        <w:rPr>
          <w:rFonts w:eastAsia="Times New Roman" w:cs="Arial"/>
          <w:szCs w:val="16"/>
        </w:rPr>
        <w:t xml:space="preserve">re not </w:t>
      </w:r>
      <w:r>
        <w:rPr>
          <w:rFonts w:eastAsia="Times New Roman" w:cs="Arial"/>
          <w:szCs w:val="16"/>
        </w:rPr>
        <w:t xml:space="preserve">reliably </w:t>
      </w:r>
      <w:r>
        <w:rPr>
          <w:rFonts w:eastAsia="Times New Roman" w:cs="Arial"/>
          <w:szCs w:val="16"/>
        </w:rPr>
        <w:t>detected with this assay</w:t>
      </w:r>
    </w:p>
    <w:p w14:paraId="541ED763" w14:textId="77777777" w:rsidR="00000000" w:rsidRPr="00160CDB" w:rsidRDefault="00000000"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w:t>
      </w:r>
      <w:r w:rsidRPr="00160CDB">
        <w:rPr>
          <w:rFonts w:eastAsia="Times New Roman" w:cs="Arial"/>
          <w:sz w:val="16"/>
          <w:szCs w:val="16"/>
        </w:rPr>
        <w:t>table given the available information about the clinical context, however please contact the laboratory for further advice should specific genes covered at less than 100% require full coverage. A list of regions with suboptimal coverage is available upon r</w:t>
      </w:r>
      <w:r w:rsidRPr="00160CDB">
        <w:rPr>
          <w:rFonts w:eastAsia="Times New Roman" w:cs="Arial"/>
          <w:sz w:val="16"/>
          <w:szCs w:val="16"/>
        </w:rPr>
        <w:t>equest.</w:t>
      </w:r>
    </w:p>
    <w:p w14:paraId="3E39C256" w14:textId="77777777" w:rsidR="00000000" w:rsidRPr="00160CDB" w:rsidRDefault="00000000"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5162A5">
        <w:rPr>
          <w:rStyle w:val="Normal2Char"/>
          <w:rFonts w:eastAsia="MS Mincho"/>
          <w:i/>
          <w:color w:val="0D0D0D"/>
          <w:sz w:val="16"/>
          <w:szCs w:val="18"/>
        </w:rPr>
        <w:t xml:space="preserve"> </w:t>
      </w:r>
    </w:p>
    <w:p w14:paraId="48E1411F" w14:textId="31452611" w:rsidR="00000000" w:rsidRPr="00160CDB" w:rsidRDefault="00000000" w:rsidP="00D05A0E">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0ED9BAB7" w14:textId="77777777" w:rsidR="00000000" w:rsidRDefault="00000000" w:rsidP="00D05A0E">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51DCB22E" w14:textId="08DDBCE9" w:rsidR="00000000" w:rsidRPr="0000607E" w:rsidRDefault="00000000" w:rsidP="00D05A0E">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9F42C8">
        <w:rPr>
          <w:rFonts w:eastAsia="Times New Roman" w:cs="Arial"/>
          <w:b/>
          <w:noProof/>
          <w:sz w:val="18"/>
          <w:szCs w:val="18"/>
        </w:rPr>
        <w:t>16-Sep-2024</w:t>
      </w:r>
      <w:r w:rsidRPr="00160CDB">
        <w:rPr>
          <w:rFonts w:eastAsia="Times New Roman" w:cs="Arial"/>
          <w:b/>
          <w:sz w:val="18"/>
          <w:szCs w:val="18"/>
        </w:rPr>
        <w:fldChar w:fldCharType="end"/>
      </w:r>
    </w:p>
    <w:p w14:paraId="1AAC754A" w14:textId="77777777" w:rsidR="00000000" w:rsidRPr="00C66355" w:rsidRDefault="00000000" w:rsidP="00D05A0E">
      <w:pPr>
        <w:pStyle w:val="EndNoteBibliography"/>
        <w:jc w:val="both"/>
        <w:rPr>
          <w:rFonts w:eastAsia="Times New Roman"/>
          <w:b/>
          <w:noProof w:val="0"/>
          <w:szCs w:val="18"/>
        </w:rPr>
        <w:sectPr w:rsidR="00D05A0E" w:rsidRPr="00C66355" w:rsidSect="00E23484">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651C64E8" w14:textId="77777777" w:rsidR="00000000" w:rsidRPr="006F384F" w:rsidRDefault="00000000" w:rsidP="00D05A0E">
      <w:pPr>
        <w:rPr>
          <w:rFonts w:cs="Arial"/>
          <w:sz w:val="6"/>
          <w:szCs w:val="6"/>
        </w:rPr>
      </w:pPr>
    </w:p>
    <w:p w14:paraId="510D4F92" w14:textId="0194FA67" w:rsidR="00000000" w:rsidRPr="00D05A0E" w:rsidRDefault="00000000" w:rsidP="00D05A0E">
      <w:r w:rsidRPr="006F384F">
        <w:rPr>
          <w:rFonts w:cs="Arial"/>
          <w:b/>
          <w:bCs/>
          <w:sz w:val="20"/>
          <w:szCs w:val="20"/>
        </w:rPr>
        <w:t>CLINICAL_CONTEXT_IN</w:t>
      </w:r>
    </w:p>
    <w:sectPr w:rsidR="00DF7C56" w:rsidRPr="00D05A0E"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282B1" w14:textId="77777777" w:rsidR="00897C2E" w:rsidRDefault="00897C2E">
      <w:r>
        <w:separator/>
      </w:r>
    </w:p>
  </w:endnote>
  <w:endnote w:type="continuationSeparator" w:id="0">
    <w:p w14:paraId="0FE92378" w14:textId="77777777" w:rsidR="00897C2E" w:rsidRDefault="00897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7BA4" w14:textId="77777777" w:rsidR="0000000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AE24E2" w14:textId="77777777" w:rsidR="00000000" w:rsidRDefault="00000000" w:rsidP="00AD585B">
    <w:pPr>
      <w:pStyle w:val="Footer"/>
      <w:ind w:right="360"/>
    </w:pPr>
  </w:p>
  <w:p w14:paraId="38C9D7EE"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C89B" w14:textId="77777777" w:rsidR="00000000"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2509E">
      <w:rPr>
        <w:rFonts w:cs="Arial"/>
        <w:i/>
        <w:noProof/>
        <w:sz w:val="18"/>
        <w:szCs w:val="18"/>
      </w:rPr>
      <w:t>Haematological Malignancy</w:t>
    </w:r>
    <w:r w:rsidRPr="0032509E">
      <w:rPr>
        <w:i/>
        <w:sz w:val="18"/>
      </w:rPr>
      <w:t xml:space="preserve"> Gene Panel Report</w:t>
    </w:r>
  </w:p>
  <w:p w14:paraId="6148607D" w14:textId="23009EB9" w:rsidR="00000000" w:rsidRDefault="00000000" w:rsidP="00A969A4">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1BF073F8" w14:textId="77777777" w:rsidR="00000000" w:rsidRDefault="00000000" w:rsidP="00A969A4">
    <w:pPr>
      <w:tabs>
        <w:tab w:val="left" w:pos="4646"/>
        <w:tab w:val="left" w:pos="9242"/>
      </w:tabs>
      <w:rPr>
        <w:i/>
        <w:sz w:val="10"/>
        <w:szCs w:val="10"/>
      </w:rPr>
    </w:pPr>
  </w:p>
  <w:p w14:paraId="28AA7994" w14:textId="56B095E2" w:rsidR="00000000" w:rsidRPr="00E23484" w:rsidRDefault="00000000" w:rsidP="00A969A4">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FEA5"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A8D4" w14:textId="77777777" w:rsidR="00000000"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5E4FC4BE" w14:textId="61A380E8" w:rsidR="00000000" w:rsidRPr="00A969A4" w:rsidRDefault="00000000" w:rsidP="00A969A4">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D1375" w14:textId="77777777" w:rsidR="00897C2E" w:rsidRDefault="00897C2E">
      <w:r>
        <w:separator/>
      </w:r>
    </w:p>
  </w:footnote>
  <w:footnote w:type="continuationSeparator" w:id="0">
    <w:p w14:paraId="0FB9A2B1" w14:textId="77777777" w:rsidR="00897C2E" w:rsidRDefault="00897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1A28"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F56B" w14:textId="27942DFE"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2D54AC" wp14:editId="7015F2F1">
          <wp:simplePos x="0" y="0"/>
          <wp:positionH relativeFrom="column">
            <wp:posOffset>-111015</wp:posOffset>
          </wp:positionH>
          <wp:positionV relativeFrom="paragraph">
            <wp:posOffset>-113720</wp:posOffset>
          </wp:positionV>
          <wp:extent cx="1605518" cy="492981"/>
          <wp:effectExtent l="0" t="0" r="0" b="2540"/>
          <wp:wrapNone/>
          <wp:docPr id="1" name="Picture 1"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sidR="009F42C8">
      <w:rPr>
        <w:noProof/>
      </w:rPr>
      <w:pict w14:anchorId="24603D1F">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061DB0D4" w14:textId="77777777" w:rsidR="00000000" w:rsidRPr="00B2330E" w:rsidRDefault="00000000" w:rsidP="00AD585B">
                <w:pPr>
                  <w:spacing w:line="160" w:lineRule="exact"/>
                  <w:rPr>
                    <w:rFonts w:ascii="Verdana" w:hAnsi="Verdana"/>
                    <w:sz w:val="16"/>
                  </w:rPr>
                </w:pPr>
                <w:r w:rsidRPr="00B2330E">
                  <w:rPr>
                    <w:rFonts w:ascii="Verdana" w:hAnsi="Verdana"/>
                    <w:sz w:val="16"/>
                  </w:rPr>
                  <w:t xml:space="preserve">ABN 42 </w:t>
                </w:r>
                <w:r w:rsidRPr="00B2330E">
                  <w:rPr>
                    <w:rFonts w:ascii="Verdana" w:hAnsi="Verdana"/>
                    <w:sz w:val="16"/>
                  </w:rPr>
                  <w:t>100 504 883</w:t>
                </w:r>
              </w:p>
            </w:txbxContent>
          </v:textbox>
          <w10:wrap type="tight"/>
        </v:shape>
      </w:pict>
    </w:r>
    <w:r w:rsidR="009F42C8">
      <w:rPr>
        <w:noProof/>
      </w:rPr>
      <w:pict w14:anchorId="62554C19">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C7EB9A3" w14:textId="77777777" w:rsidR="00000000" w:rsidRDefault="00000000" w:rsidP="00F42F75">
                <w:r>
                  <w:rPr>
                    <w:noProof/>
                    <w:lang w:eastAsia="en-AU"/>
                  </w:rPr>
                  <w:drawing>
                    <wp:inline distT="0" distB="0" distL="0" distR="0" wp14:anchorId="5912808E" wp14:editId="35DAAD0A">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A46846"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4118E6"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66516BB"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F25E26B"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4C009EB4" wp14:editId="4ED535EF">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2C8">
      <w:rPr>
        <w:noProof/>
      </w:rPr>
      <w:pict w14:anchorId="70D4CAFB">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2D303A" w14:textId="77777777" w:rsidR="00000000" w:rsidRDefault="00000000" w:rsidP="00F42F75"/>
            </w:txbxContent>
          </v:textbox>
          <w10:wrap type="tight"/>
        </v:shape>
      </w:pict>
    </w:r>
    <w:r w:rsidRPr="003F6432">
      <w:rPr>
        <w:noProof/>
      </w:rPr>
      <w:t xml:space="preserve"> </w:t>
    </w:r>
  </w:p>
  <w:p w14:paraId="5086B3D5"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DB7F"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36826526">
    <w:abstractNumId w:val="0"/>
  </w:num>
  <w:num w:numId="2" w16cid:durableId="728383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42C8"/>
    <w:rsid w:val="00897C2E"/>
    <w:rsid w:val="009F42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1A6B8"/>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FE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7F0FE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7F0FE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FE2"/>
    <w:pPr>
      <w:tabs>
        <w:tab w:val="center" w:pos="4320"/>
        <w:tab w:val="right" w:pos="8640"/>
      </w:tabs>
    </w:pPr>
  </w:style>
  <w:style w:type="character" w:customStyle="1" w:styleId="HeaderChar">
    <w:name w:val="Header Char"/>
    <w:basedOn w:val="DefaultParagraphFont"/>
    <w:link w:val="Header"/>
    <w:uiPriority w:val="99"/>
    <w:rsid w:val="007F0FE2"/>
    <w:rPr>
      <w:rFonts w:ascii="Arial" w:eastAsia="MS Mincho" w:hAnsi="Arial" w:cs="Times New Roman"/>
      <w:sz w:val="12"/>
      <w:szCs w:val="24"/>
    </w:rPr>
  </w:style>
  <w:style w:type="paragraph" w:styleId="Footer">
    <w:name w:val="footer"/>
    <w:basedOn w:val="Normal"/>
    <w:link w:val="FooterChar"/>
    <w:uiPriority w:val="99"/>
    <w:unhideWhenUsed/>
    <w:rsid w:val="007F0FE2"/>
    <w:pPr>
      <w:tabs>
        <w:tab w:val="center" w:pos="4320"/>
        <w:tab w:val="right" w:pos="8640"/>
      </w:tabs>
    </w:pPr>
  </w:style>
  <w:style w:type="character" w:customStyle="1" w:styleId="FooterChar">
    <w:name w:val="Footer Char"/>
    <w:basedOn w:val="DefaultParagraphFont"/>
    <w:link w:val="Footer"/>
    <w:uiPriority w:val="99"/>
    <w:rsid w:val="007F0FE2"/>
    <w:rPr>
      <w:rFonts w:ascii="Arial" w:eastAsia="MS Mincho" w:hAnsi="Arial" w:cs="Times New Roman"/>
      <w:sz w:val="12"/>
      <w:szCs w:val="24"/>
    </w:rPr>
  </w:style>
  <w:style w:type="character" w:styleId="PageNumber">
    <w:name w:val="page number"/>
    <w:basedOn w:val="DefaultParagraphFont"/>
    <w:uiPriority w:val="99"/>
    <w:semiHidden/>
    <w:unhideWhenUsed/>
    <w:rsid w:val="007F0FE2"/>
  </w:style>
  <w:style w:type="paragraph" w:customStyle="1" w:styleId="Normal2">
    <w:name w:val="Normal2"/>
    <w:basedOn w:val="Normal"/>
    <w:link w:val="Normal2Char"/>
    <w:qFormat/>
    <w:rsid w:val="007F0FE2"/>
    <w:rPr>
      <w:rFonts w:eastAsia="Times New Roman" w:cs="Arial"/>
      <w:noProof/>
      <w:color w:val="000080"/>
      <w:sz w:val="22"/>
      <w:szCs w:val="22"/>
      <w:lang w:eastAsia="ru-RU"/>
    </w:rPr>
  </w:style>
  <w:style w:type="character" w:customStyle="1" w:styleId="Normal2Char">
    <w:name w:val="Normal2 Char"/>
    <w:link w:val="Normal2"/>
    <w:rsid w:val="007F0FE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7F0FE2"/>
    <w:rPr>
      <w:rFonts w:cs="Arial"/>
      <w:noProof/>
      <w:sz w:val="16"/>
    </w:rPr>
  </w:style>
  <w:style w:type="character" w:customStyle="1" w:styleId="EndNoteBibliographyChar">
    <w:name w:val="EndNote Bibliography Char"/>
    <w:basedOn w:val="DefaultParagraphFont"/>
    <w:link w:val="EndNoteBibliography"/>
    <w:rsid w:val="007F0FE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7F0F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FE2"/>
    <w:rPr>
      <w:rFonts w:ascii="Lucida Grande" w:eastAsia="MS Mincho" w:hAnsi="Lucida Grande" w:cs="Lucida Grande"/>
      <w:sz w:val="18"/>
      <w:szCs w:val="18"/>
    </w:rPr>
  </w:style>
  <w:style w:type="paragraph" w:styleId="BodyText">
    <w:name w:val="Body Text"/>
    <w:basedOn w:val="Normal"/>
    <w:link w:val="BodyTextChar"/>
    <w:uiPriority w:val="99"/>
    <w:rsid w:val="007F0FE2"/>
    <w:rPr>
      <w:rFonts w:ascii="Times New Roman" w:eastAsia="Times New Roman" w:hAnsi="Times New Roman"/>
      <w:szCs w:val="20"/>
    </w:rPr>
  </w:style>
  <w:style w:type="character" w:customStyle="1" w:styleId="BodyTextChar">
    <w:name w:val="Body Text Char"/>
    <w:link w:val="BodyText"/>
    <w:uiPriority w:val="99"/>
    <w:rsid w:val="007F0FE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7F0FE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7F0FE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7F0FE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7F0FE2"/>
    <w:rPr>
      <w:rFonts w:ascii="Calibri" w:hAnsi="Calibri"/>
      <w:sz w:val="32"/>
      <w:szCs w:val="32"/>
    </w:rPr>
  </w:style>
  <w:style w:type="character" w:customStyle="1" w:styleId="CLIN1HEADINGChar">
    <w:name w:val="CLIN1(HEADING) Char"/>
    <w:basedOn w:val="Heading1Char"/>
    <w:link w:val="CLIN1HEADING"/>
    <w:rsid w:val="007F0FE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7F0FE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7F0FE2"/>
    <w:rPr>
      <w:rFonts w:ascii="Calibri" w:hAnsi="Calibri"/>
    </w:rPr>
  </w:style>
  <w:style w:type="character" w:customStyle="1" w:styleId="CLIN2SUBHEADINGSChar">
    <w:name w:val="CLIN2(SUBHEADINGS) Char"/>
    <w:basedOn w:val="Heading2Char"/>
    <w:link w:val="CLIN2SUBHEADINGS"/>
    <w:rsid w:val="007F0FE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7F0FE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7F0FE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7F0FE2"/>
    <w:pPr>
      <w:numPr>
        <w:numId w:val="2"/>
      </w:numPr>
    </w:pPr>
    <w:rPr>
      <w:rFonts w:ascii="Calibri" w:hAnsi="Calibri"/>
    </w:rPr>
  </w:style>
  <w:style w:type="character" w:customStyle="1" w:styleId="CLIN3BULLETPOINTSChar">
    <w:name w:val="CLIN3(BULLET POINTS) Char"/>
    <w:basedOn w:val="DefaultParagraphFont"/>
    <w:link w:val="CLIN3BULLETPOINTS"/>
    <w:rsid w:val="007F0FE2"/>
    <w:rPr>
      <w:rFonts w:ascii="Calibri" w:eastAsia="MS Mincho" w:hAnsi="Calibri" w:cstheme="majorHAnsi"/>
      <w:noProof/>
      <w:sz w:val="18"/>
      <w:szCs w:val="18"/>
      <w:lang w:eastAsia="en-AU"/>
    </w:rPr>
  </w:style>
  <w:style w:type="paragraph" w:customStyle="1" w:styleId="CLIN4">
    <w:name w:val="CLIN4"/>
    <w:basedOn w:val="Normal"/>
    <w:link w:val="CLIN4Char"/>
    <w:qFormat/>
    <w:rsid w:val="007F0FE2"/>
    <w:pPr>
      <w:jc w:val="both"/>
    </w:pPr>
    <w:rPr>
      <w:rFonts w:ascii="Calibri" w:hAnsi="Calibri"/>
      <w:noProof/>
    </w:rPr>
  </w:style>
  <w:style w:type="character" w:customStyle="1" w:styleId="CLIN4Char">
    <w:name w:val="CLIN4 Char"/>
    <w:basedOn w:val="DefaultParagraphFont"/>
    <w:link w:val="CLIN4"/>
    <w:rsid w:val="007F0FE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7F0FE2"/>
    <w:rPr>
      <w:sz w:val="18"/>
      <w:szCs w:val="18"/>
    </w:rPr>
  </w:style>
  <w:style w:type="paragraph" w:styleId="CommentText">
    <w:name w:val="annotation text"/>
    <w:basedOn w:val="Normal"/>
    <w:link w:val="CommentTextChar"/>
    <w:uiPriority w:val="99"/>
    <w:semiHidden/>
    <w:unhideWhenUsed/>
    <w:rsid w:val="007F0FE2"/>
  </w:style>
  <w:style w:type="character" w:customStyle="1" w:styleId="CommentTextChar">
    <w:name w:val="Comment Text Char"/>
    <w:basedOn w:val="DefaultParagraphFont"/>
    <w:link w:val="CommentText"/>
    <w:uiPriority w:val="99"/>
    <w:semiHidden/>
    <w:rsid w:val="007F0FE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7F0FE2"/>
    <w:rPr>
      <w:b/>
      <w:bCs/>
      <w:sz w:val="20"/>
      <w:szCs w:val="20"/>
    </w:rPr>
  </w:style>
  <w:style w:type="character" w:customStyle="1" w:styleId="CommentSubjectChar">
    <w:name w:val="Comment Subject Char"/>
    <w:basedOn w:val="CommentTextChar"/>
    <w:link w:val="CommentSubject"/>
    <w:uiPriority w:val="99"/>
    <w:semiHidden/>
    <w:rsid w:val="007F0FE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7F0FE2"/>
    <w:pPr>
      <w:jc w:val="center"/>
    </w:pPr>
    <w:rPr>
      <w:rFonts w:cs="Arial"/>
      <w:noProof/>
      <w:sz w:val="16"/>
    </w:rPr>
  </w:style>
  <w:style w:type="character" w:customStyle="1" w:styleId="EndNoteBibliographyTitleChar">
    <w:name w:val="EndNote Bibliography Title Char"/>
    <w:basedOn w:val="DefaultParagraphFont"/>
    <w:link w:val="EndNoteBibliographyTitle"/>
    <w:rsid w:val="007F0FE2"/>
    <w:rPr>
      <w:rFonts w:ascii="Arial" w:eastAsia="MS Mincho" w:hAnsi="Arial" w:cs="Arial"/>
      <w:noProof/>
      <w:sz w:val="16"/>
      <w:szCs w:val="24"/>
    </w:rPr>
  </w:style>
  <w:style w:type="character" w:styleId="EndnoteReference">
    <w:name w:val="endnote reference"/>
    <w:uiPriority w:val="99"/>
    <w:semiHidden/>
    <w:unhideWhenUsed/>
    <w:rsid w:val="007F0FE2"/>
    <w:rPr>
      <w:vertAlign w:val="superscript"/>
    </w:rPr>
  </w:style>
  <w:style w:type="paragraph" w:styleId="EndnoteText">
    <w:name w:val="endnote text"/>
    <w:basedOn w:val="Normal"/>
    <w:link w:val="EndnoteTextChar"/>
    <w:uiPriority w:val="99"/>
    <w:semiHidden/>
    <w:unhideWhenUsed/>
    <w:rsid w:val="007F0FE2"/>
  </w:style>
  <w:style w:type="character" w:customStyle="1" w:styleId="EndnoteTextChar">
    <w:name w:val="Endnote Text Char"/>
    <w:basedOn w:val="DefaultParagraphFont"/>
    <w:link w:val="EndnoteText"/>
    <w:uiPriority w:val="99"/>
    <w:semiHidden/>
    <w:rsid w:val="007F0FE2"/>
    <w:rPr>
      <w:rFonts w:ascii="Arial" w:eastAsia="MS Mincho" w:hAnsi="Arial" w:cs="Times New Roman"/>
      <w:sz w:val="12"/>
      <w:szCs w:val="24"/>
    </w:rPr>
  </w:style>
  <w:style w:type="character" w:styleId="FollowedHyperlink">
    <w:name w:val="FollowedHyperlink"/>
    <w:uiPriority w:val="99"/>
    <w:semiHidden/>
    <w:unhideWhenUsed/>
    <w:rsid w:val="007F0FE2"/>
    <w:rPr>
      <w:color w:val="800080"/>
      <w:u w:val="single"/>
    </w:rPr>
  </w:style>
  <w:style w:type="character" w:styleId="FootnoteReference">
    <w:name w:val="footnote reference"/>
    <w:uiPriority w:val="99"/>
    <w:unhideWhenUsed/>
    <w:rsid w:val="007F0FE2"/>
    <w:rPr>
      <w:vertAlign w:val="superscript"/>
    </w:rPr>
  </w:style>
  <w:style w:type="paragraph" w:styleId="FootnoteText">
    <w:name w:val="footnote text"/>
    <w:basedOn w:val="Normal"/>
    <w:link w:val="FootnoteTextChar"/>
    <w:uiPriority w:val="99"/>
    <w:unhideWhenUsed/>
    <w:rsid w:val="007F0FE2"/>
  </w:style>
  <w:style w:type="character" w:customStyle="1" w:styleId="FootnoteTextChar">
    <w:name w:val="Footnote Text Char"/>
    <w:basedOn w:val="DefaultParagraphFont"/>
    <w:link w:val="FootnoteText"/>
    <w:uiPriority w:val="99"/>
    <w:rsid w:val="007F0FE2"/>
    <w:rPr>
      <w:rFonts w:ascii="Arial" w:eastAsia="MS Mincho" w:hAnsi="Arial" w:cs="Times New Roman"/>
      <w:sz w:val="12"/>
      <w:szCs w:val="24"/>
    </w:rPr>
  </w:style>
  <w:style w:type="character" w:styleId="Hyperlink">
    <w:name w:val="Hyperlink"/>
    <w:uiPriority w:val="99"/>
    <w:rsid w:val="007F0FE2"/>
    <w:rPr>
      <w:color w:val="0000FF"/>
      <w:u w:val="single"/>
    </w:rPr>
  </w:style>
  <w:style w:type="table" w:styleId="LightGrid-Accent1">
    <w:name w:val="Light Grid Accent 1"/>
    <w:basedOn w:val="TableNormal"/>
    <w:uiPriority w:val="62"/>
    <w:rsid w:val="007F0FE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7F0FE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7F0FE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7F0FE2"/>
    <w:rPr>
      <w:color w:val="808080"/>
    </w:rPr>
  </w:style>
  <w:style w:type="character" w:customStyle="1" w:styleId="st">
    <w:name w:val="st"/>
    <w:rsid w:val="007F0FE2"/>
  </w:style>
  <w:style w:type="character" w:customStyle="1" w:styleId="st1">
    <w:name w:val="st1"/>
    <w:basedOn w:val="DefaultParagraphFont"/>
    <w:rsid w:val="007F0FE2"/>
  </w:style>
  <w:style w:type="character" w:customStyle="1" w:styleId="st2">
    <w:name w:val="st2"/>
    <w:basedOn w:val="DefaultParagraphFont"/>
    <w:rsid w:val="007F0FE2"/>
    <w:rPr>
      <w:rFonts w:ascii="Times New Roman" w:hAnsi="Times New Roman" w:cs="Times New Roman" w:hint="default"/>
      <w:color w:val="000000"/>
      <w:sz w:val="24"/>
      <w:szCs w:val="24"/>
    </w:rPr>
  </w:style>
  <w:style w:type="character" w:styleId="SubtleReference">
    <w:name w:val="Subtle Reference"/>
    <w:uiPriority w:val="31"/>
    <w:qFormat/>
    <w:rsid w:val="007F0FE2"/>
    <w:rPr>
      <w:rFonts w:asciiTheme="majorHAnsi" w:hAnsiTheme="majorHAnsi" w:cstheme="majorHAnsi"/>
      <w:noProof/>
      <w:sz w:val="12"/>
      <w:lang w:val="en-US"/>
    </w:rPr>
  </w:style>
  <w:style w:type="table" w:styleId="TableGrid">
    <w:name w:val="Table Grid"/>
    <w:basedOn w:val="TableNormal"/>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80F45"/>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62FF0D-2952-4A1B-B403-537882212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88C1CF-C9C8-41DC-8465-803649E834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799</Words>
  <Characters>4555</Characters>
  <Application>Microsoft Office Word</Application>
  <DocSecurity>0</DocSecurity>
  <Lines>37</Lines>
  <Paragraphs>10</Paragraphs>
  <ScaleCrop>false</ScaleCrop>
  <Company>Peter MacCallum Cancer Center</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20</cp:revision>
  <dcterms:created xsi:type="dcterms:W3CDTF">2023-10-27T07:00:00Z</dcterms:created>
  <dcterms:modified xsi:type="dcterms:W3CDTF">2024-09-16T03:37:00Z</dcterms:modified>
</cp:coreProperties>
</file>