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C4387" w14:textId="77777777" w:rsidR="00D05A0E" w:rsidRPr="00160CDB" w:rsidRDefault="00D05A0E" w:rsidP="00D05A0E">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D05A0E" w:rsidRPr="00160CDB" w14:paraId="21561D17" w14:textId="77777777" w:rsidTr="004B7F36">
        <w:trPr>
          <w:jc w:val="center"/>
        </w:trPr>
        <w:tc>
          <w:tcPr>
            <w:tcW w:w="3397" w:type="dxa"/>
            <w:shd w:val="clear" w:color="auto" w:fill="auto"/>
            <w:vAlign w:val="center"/>
          </w:tcPr>
          <w:p w14:paraId="6BC778FE" w14:textId="77777777" w:rsidR="00D05A0E" w:rsidRPr="00160CDB" w:rsidRDefault="00D05A0E" w:rsidP="004B7F36">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5E799824" w14:textId="77777777" w:rsidR="00D05A0E" w:rsidRPr="00160CDB" w:rsidRDefault="00D05A0E" w:rsidP="004B7F36">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79CE7E42" w14:textId="77777777" w:rsidR="00D05A0E" w:rsidRPr="00160CDB" w:rsidRDefault="00D05A0E" w:rsidP="004B7F36">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01CE9A60" w14:textId="77777777" w:rsidR="00D05A0E" w:rsidRPr="00160CDB" w:rsidRDefault="00D05A0E" w:rsidP="004B7F36">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6E04F3AB" w14:textId="77777777" w:rsidR="00D05A0E" w:rsidRPr="00160CDB" w:rsidRDefault="00D05A0E" w:rsidP="004B7F36">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4F04DA10" w14:textId="77777777" w:rsidR="00D05A0E" w:rsidRPr="00160CDB" w:rsidRDefault="00D05A0E" w:rsidP="004B7F36">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082E7ACC" w14:textId="77777777" w:rsidR="00D05A0E" w:rsidRPr="00160CDB" w:rsidRDefault="00D05A0E" w:rsidP="004B7F36">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7A29958F" w14:textId="77777777" w:rsidR="00D05A0E" w:rsidRPr="00160CDB" w:rsidRDefault="00D05A0E" w:rsidP="004B7F36">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285B8AA8" w14:textId="77777777" w:rsidR="00D05A0E" w:rsidRPr="00AE4561" w:rsidRDefault="00D05A0E" w:rsidP="004B7F36">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5AE324AC" w14:textId="77777777" w:rsidR="00D05A0E" w:rsidRDefault="00D05A0E" w:rsidP="004B7F36">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5702CBED" w14:textId="77777777" w:rsidR="00D05A0E" w:rsidRPr="00160CDB" w:rsidRDefault="00D05A0E" w:rsidP="004B7F36">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7FA6B499" w14:textId="77777777" w:rsidR="00D05A0E" w:rsidRPr="00A11A15" w:rsidRDefault="00D05A0E" w:rsidP="00D05A0E">
      <w:pPr>
        <w:tabs>
          <w:tab w:val="left" w:pos="2127"/>
          <w:tab w:val="left" w:pos="9540"/>
        </w:tabs>
        <w:spacing w:before="120" w:after="120"/>
        <w:ind w:left="2127" w:right="-8" w:hanging="2127"/>
        <w:jc w:val="center"/>
        <w:rPr>
          <w:rFonts w:eastAsia="Times New Roman" w:cs="Arial"/>
          <w:b/>
          <w:color w:val="FF0000"/>
          <w:sz w:val="18"/>
          <w:szCs w:val="18"/>
        </w:rPr>
      </w:pPr>
      <w:r w:rsidRPr="00A11A15">
        <w:rPr>
          <w:rFonts w:eastAsia="Times New Roman" w:cs="Arial"/>
          <w:b/>
          <w:color w:val="FF0000"/>
          <w:sz w:val="18"/>
          <w:szCs w:val="18"/>
        </w:rPr>
        <w:t>COMMENT_IN</w:t>
      </w:r>
    </w:p>
    <w:p w14:paraId="396B4918" w14:textId="77777777" w:rsidR="00D05A0E" w:rsidRPr="00160CDB" w:rsidRDefault="00D05A0E" w:rsidP="00D05A0E">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63DFECC4" w14:textId="77777777" w:rsidR="00D05A0E" w:rsidRPr="00A11A15" w:rsidRDefault="00D05A0E" w:rsidP="00D05A0E">
      <w:pPr>
        <w:tabs>
          <w:tab w:val="left" w:pos="2127"/>
          <w:tab w:val="left" w:pos="5245"/>
          <w:tab w:val="left" w:pos="9540"/>
        </w:tabs>
        <w:spacing w:before="120" w:after="120"/>
        <w:ind w:left="2127" w:right="-8" w:hanging="2127"/>
        <w:jc w:val="both"/>
        <w:rPr>
          <w:rFonts w:cs="Arial"/>
          <w:sz w:val="18"/>
          <w:szCs w:val="18"/>
        </w:rPr>
      </w:pPr>
      <w:r w:rsidRPr="00A11A15">
        <w:rPr>
          <w:rFonts w:eastAsia="Times New Roman" w:cs="Arial"/>
          <w:b/>
          <w:sz w:val="18"/>
          <w:szCs w:val="18"/>
        </w:rPr>
        <w:t>Specimen Details</w:t>
      </w:r>
      <w:r>
        <w:rPr>
          <w:rFonts w:eastAsia="Times New Roman" w:cs="Arial"/>
          <w:b/>
          <w:sz w:val="18"/>
          <w:szCs w:val="18"/>
        </w:rPr>
        <w:tab/>
      </w:r>
      <w:r w:rsidRPr="00A11A15">
        <w:rPr>
          <w:rFonts w:eastAsia="Times New Roman" w:cs="Arial"/>
          <w:bCs/>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D05A0E" w:rsidRPr="00160CDB" w14:paraId="1187EEE6" w14:textId="77777777" w:rsidTr="004B7F36">
        <w:trPr>
          <w:jc w:val="center"/>
        </w:trPr>
        <w:tc>
          <w:tcPr>
            <w:tcW w:w="10191" w:type="dxa"/>
            <w:shd w:val="clear" w:color="auto" w:fill="411E75"/>
            <w:vAlign w:val="center"/>
          </w:tcPr>
          <w:p w14:paraId="208B0D3F" w14:textId="77777777" w:rsidR="00D05A0E" w:rsidRPr="00160CDB" w:rsidRDefault="00D05A0E" w:rsidP="004B7F36">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HAEMATOLOGICAL MALIGNANCY GENE PANEL REPORT</w:t>
            </w:r>
          </w:p>
        </w:tc>
      </w:tr>
    </w:tbl>
    <w:p w14:paraId="26E4AC32" w14:textId="77777777" w:rsidR="00D05A0E" w:rsidRPr="00160CDB" w:rsidRDefault="00D05A0E" w:rsidP="00D05A0E">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Pr>
          <w:rFonts w:cs="Arial"/>
          <w:sz w:val="18"/>
          <w:szCs w:val="18"/>
        </w:rPr>
        <w:t>81</w:t>
      </w:r>
      <w:r w:rsidRPr="00160CDB">
        <w:rPr>
          <w:rFonts w:cs="Arial"/>
          <w:sz w:val="18"/>
          <w:szCs w:val="18"/>
        </w:rPr>
        <w:t xml:space="preserve"> genes with clinical significance 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D05A0E" w:rsidRPr="00160CDB" w14:paraId="3B754EF8" w14:textId="77777777" w:rsidTr="004B7F36">
        <w:trPr>
          <w:jc w:val="center"/>
        </w:trPr>
        <w:tc>
          <w:tcPr>
            <w:tcW w:w="10191" w:type="dxa"/>
            <w:tcBorders>
              <w:top w:val="nil"/>
              <w:left w:val="nil"/>
              <w:bottom w:val="nil"/>
              <w:right w:val="nil"/>
            </w:tcBorders>
            <w:shd w:val="clear" w:color="auto" w:fill="CFCCD6"/>
            <w:vAlign w:val="center"/>
          </w:tcPr>
          <w:p w14:paraId="2DAECE4F" w14:textId="77777777" w:rsidR="00D05A0E" w:rsidRPr="00160CDB" w:rsidRDefault="00D05A0E" w:rsidP="004B7F36">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Pr>
                <w:rFonts w:cs="Arial"/>
                <w:b/>
                <w:sz w:val="18"/>
                <w:szCs w:val="18"/>
              </w:rPr>
              <w:t>NO VARIANTS DETECTED</w:t>
            </w:r>
            <w:r w:rsidRPr="00160CDB">
              <w:rPr>
                <w:rFonts w:cs="Arial"/>
                <w:b/>
                <w:sz w:val="18"/>
                <w:szCs w:val="18"/>
              </w:rPr>
              <w:t>.</w:t>
            </w:r>
            <w:r w:rsidRPr="00160CDB">
              <w:rPr>
                <w:rFonts w:cs="Arial"/>
                <w:sz w:val="18"/>
                <w:szCs w:val="18"/>
              </w:rPr>
              <w:t xml:space="preserve"> </w:t>
            </w:r>
            <w:r>
              <w:rPr>
                <w:rFonts w:cs="Arial"/>
                <w:sz w:val="18"/>
                <w:szCs w:val="18"/>
              </w:rPr>
              <w:t>RESULTS_SUMMARY_IN</w:t>
            </w:r>
            <w:r w:rsidRPr="00160CDB">
              <w:rPr>
                <w:rFonts w:eastAsia="Times New Roman" w:cs="Arial"/>
                <w:color w:val="000000"/>
                <w:sz w:val="18"/>
                <w:szCs w:val="18"/>
              </w:rPr>
              <w:t xml:space="preserve"> See comment below regarding the test limitations of cell free DNA analysis.</w:t>
            </w:r>
          </w:p>
          <w:p w14:paraId="262D85DE" w14:textId="77777777" w:rsidR="00D05A0E" w:rsidRPr="00160CDB" w:rsidRDefault="00D05A0E" w:rsidP="004B7F36">
            <w:pPr>
              <w:spacing w:before="120" w:after="120"/>
              <w:ind w:left="2018" w:right="-8" w:hanging="2023"/>
              <w:jc w:val="both"/>
              <w:rPr>
                <w:rFonts w:cs="Arial"/>
                <w:b/>
                <w:sz w:val="18"/>
                <w:szCs w:val="18"/>
              </w:rPr>
            </w:pPr>
            <w:r w:rsidRPr="00D73927">
              <w:rPr>
                <w:rFonts w:cs="Arial"/>
                <w:b/>
                <w:sz w:val="18"/>
                <w:szCs w:val="18"/>
              </w:rPr>
              <w:t>Clinical Interpretation</w:t>
            </w:r>
            <w:r w:rsidRPr="00DE6ACE">
              <w:rPr>
                <w:rFonts w:cs="Arial"/>
                <w:b/>
                <w:color w:val="FF0000"/>
                <w:sz w:val="18"/>
                <w:szCs w:val="18"/>
              </w:rPr>
              <w:tab/>
            </w:r>
            <w:r w:rsidRPr="00A61029">
              <w:rPr>
                <w:rFonts w:cs="Arial"/>
                <w:sz w:val="18"/>
                <w:szCs w:val="18"/>
              </w:rPr>
              <w:t>CLINICAL_INTERPRETATION1_IN</w:t>
            </w:r>
          </w:p>
        </w:tc>
      </w:tr>
    </w:tbl>
    <w:p w14:paraId="1E635836" w14:textId="77777777" w:rsidR="00D05A0E" w:rsidRPr="00160CDB" w:rsidRDefault="00D05A0E" w:rsidP="00D05A0E">
      <w:pPr>
        <w:tabs>
          <w:tab w:val="left" w:pos="8647"/>
          <w:tab w:val="left" w:pos="9540"/>
        </w:tabs>
        <w:spacing w:before="120" w:after="120"/>
        <w:jc w:val="both"/>
        <w:rPr>
          <w:rFonts w:cs="Arial"/>
          <w:b/>
          <w:sz w:val="16"/>
          <w:szCs w:val="16"/>
        </w:rPr>
      </w:pPr>
    </w:p>
    <w:p w14:paraId="643BDA78" w14:textId="77777777" w:rsidR="00D05A0E" w:rsidRPr="00160CDB" w:rsidRDefault="00D05A0E" w:rsidP="00D05A0E">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6739190A" w14:textId="77777777" w:rsidR="00D05A0E" w:rsidRPr="00160CDB" w:rsidRDefault="00D05A0E" w:rsidP="00D05A0E">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QIAGEN </w:t>
      </w:r>
      <w:proofErr w:type="spellStart"/>
      <w:r w:rsidRPr="00160CDB">
        <w:rPr>
          <w:rFonts w:cs="Arial"/>
          <w:sz w:val="16"/>
          <w:szCs w:val="16"/>
        </w:rPr>
        <w:t>QIAseq</w:t>
      </w:r>
      <w:proofErr w:type="spellEnd"/>
      <w:r w:rsidRPr="00160CDB">
        <w:rPr>
          <w:rFonts w:cs="Arial"/>
          <w:sz w:val="16"/>
          <w:szCs w:val="16"/>
        </w:rPr>
        <w:t xml:space="preserve"> single primer extension-based panel (Peter MacCallum Cancer Centre </w:t>
      </w:r>
      <w:proofErr w:type="spellStart"/>
      <w:r w:rsidRPr="00160CDB">
        <w:rPr>
          <w:rFonts w:cs="Arial"/>
          <w:sz w:val="16"/>
          <w:szCs w:val="16"/>
        </w:rPr>
        <w:t>AllHaem</w:t>
      </w:r>
      <w:proofErr w:type="spellEnd"/>
      <w:r w:rsidRPr="00160CDB">
        <w:rPr>
          <w:rFonts w:cs="Arial"/>
          <w:sz w:val="16"/>
          <w:szCs w:val="16"/>
        </w:rPr>
        <w:t xml:space="preserve"> v</w:t>
      </w:r>
      <w:r>
        <w:rPr>
          <w:rFonts w:cs="Arial"/>
          <w:sz w:val="16"/>
          <w:szCs w:val="16"/>
        </w:rPr>
        <w:t>4</w:t>
      </w:r>
      <w:r w:rsidRPr="00160CDB">
        <w:rPr>
          <w:rFonts w:cs="Arial"/>
          <w:sz w:val="16"/>
          <w:szCs w:val="16"/>
        </w:rPr>
        <w:t xml:space="preserve">) and sequenced on an Illumina NextSeq500 with 150 bp paired end reads. </w:t>
      </w:r>
      <w:r w:rsidRPr="00C52368">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w:t>
      </w:r>
      <w:proofErr w:type="spellStart"/>
      <w:r w:rsidRPr="00160CDB">
        <w:rPr>
          <w:rFonts w:cs="Arial"/>
          <w:sz w:val="16"/>
          <w:szCs w:val="16"/>
        </w:rPr>
        <w:t>PathOS</w:t>
      </w:r>
      <w:proofErr w:type="spellEnd"/>
      <w:r w:rsidRPr="00160CDB">
        <w:rPr>
          <w:rFonts w:cs="Arial"/>
          <w:sz w:val="16"/>
          <w:szCs w:val="16"/>
        </w:rPr>
        <w:t xml:space="preserve">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w:t>
      </w:r>
      <w:proofErr w:type="spellStart"/>
      <w:r w:rsidRPr="00160CDB">
        <w:rPr>
          <w:rFonts w:cs="Arial"/>
          <w:sz w:val="16"/>
          <w:szCs w:val="16"/>
        </w:rPr>
        <w:t>gnomAD</w:t>
      </w:r>
      <w:proofErr w:type="spellEnd"/>
      <w:r w:rsidRPr="00160CDB">
        <w:rPr>
          <w:rFonts w:cs="Arial"/>
          <w:sz w:val="16"/>
          <w:szCs w:val="16"/>
        </w:rPr>
        <w:t xml:space="preserve">; gnomad.broadinstitute.org), the Catalogue of Somatic Mutations in Cancer (COSMIC; cancer.sanger.ac.uk), </w:t>
      </w:r>
      <w:proofErr w:type="spellStart"/>
      <w:r w:rsidRPr="00160CDB">
        <w:rPr>
          <w:rFonts w:cs="Arial"/>
          <w:sz w:val="16"/>
          <w:szCs w:val="16"/>
        </w:rPr>
        <w:t>ClinVar</w:t>
      </w:r>
      <w:proofErr w:type="spellEnd"/>
      <w:r w:rsidRPr="00160CDB">
        <w:rPr>
          <w:rFonts w:cs="Arial"/>
          <w:sz w:val="16"/>
          <w:szCs w:val="16"/>
        </w:rPr>
        <w:t xml:space="preserve"> (ncbi.nlm.nih.gov/</w:t>
      </w:r>
      <w:proofErr w:type="spellStart"/>
      <w:r w:rsidRPr="00160CDB">
        <w:rPr>
          <w:rFonts w:cs="Arial"/>
          <w:sz w:val="16"/>
          <w:szCs w:val="16"/>
        </w:rPr>
        <w:t>clinvar</w:t>
      </w:r>
      <w:proofErr w:type="spellEnd"/>
      <w:r w:rsidRPr="00160CDB">
        <w:rPr>
          <w:rFonts w:cs="Arial"/>
          <w:sz w:val="16"/>
          <w:szCs w:val="16"/>
        </w:rPr>
        <w:t>) and the IARC TP53 Database (p53.iarc.fr). V</w:t>
      </w:r>
      <w:r w:rsidRPr="00160CDB">
        <w:rPr>
          <w:rFonts w:cs="Arial"/>
          <w:sz w:val="16"/>
          <w:szCs w:val="18"/>
        </w:rPr>
        <w:t>ariant origin (</w:t>
      </w:r>
      <w:proofErr w:type="gramStart"/>
      <w:r w:rsidRPr="00160CDB">
        <w:rPr>
          <w:rFonts w:cs="Arial"/>
          <w:sz w:val="16"/>
          <w:szCs w:val="18"/>
        </w:rPr>
        <w:t>i.e.</w:t>
      </w:r>
      <w:proofErr w:type="gramEnd"/>
      <w:r w:rsidRPr="00160CDB">
        <w:rPr>
          <w:rFonts w:cs="Arial"/>
          <w:sz w:val="16"/>
          <w:szCs w:val="18"/>
        </w:rPr>
        <w:t xml:space="preserv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p>
    <w:p w14:paraId="1482809C" w14:textId="77777777" w:rsidR="00D05A0E" w:rsidRPr="00160CDB" w:rsidRDefault="00D05A0E" w:rsidP="00D05A0E">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6D8C8A54" w14:textId="77777777" w:rsidR="00D05A0E" w:rsidRPr="00D06C2B" w:rsidRDefault="00D05A0E" w:rsidP="00D05A0E">
      <w:pPr>
        <w:tabs>
          <w:tab w:val="left" w:pos="8647"/>
          <w:tab w:val="left" w:pos="9540"/>
        </w:tabs>
        <w:spacing w:before="120" w:after="120"/>
        <w:jc w:val="both"/>
        <w:rPr>
          <w:rFonts w:cs="Arial"/>
          <w:sz w:val="16"/>
          <w:szCs w:val="16"/>
        </w:rPr>
      </w:pPr>
      <w:r w:rsidRPr="00160CDB">
        <w:rPr>
          <w:rFonts w:cs="Arial"/>
          <w:sz w:val="16"/>
          <w:szCs w:val="16"/>
        </w:rPr>
        <w:t>The detection limit of this assay for specimens sequenced to the target read depth of 500x is a variant allele frequency (VAF) of approximately 2% with the exception of CEBPA (detection limit ~ 10%) and ASXL1 c.1934</w:t>
      </w:r>
      <w:proofErr w:type="gramStart"/>
      <w:r w:rsidRPr="00160CDB">
        <w:rPr>
          <w:rFonts w:cs="Arial"/>
          <w:sz w:val="16"/>
          <w:szCs w:val="16"/>
        </w:rPr>
        <w:t>dup;p</w:t>
      </w:r>
      <w:proofErr w:type="gramEnd"/>
      <w:r w:rsidRPr="00160CDB">
        <w:rPr>
          <w:rFonts w:cs="Arial"/>
          <w:sz w:val="16"/>
          <w:szCs w:val="16"/>
        </w:rPr>
        <w:t>.Gly646Trpfs*12 (detection limit ~ 5%).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The measurement of uncertainty provided as a percentage relative standard uncertainty (</w:t>
      </w:r>
      <w:proofErr w:type="gramStart"/>
      <w:r w:rsidRPr="00160CDB">
        <w:rPr>
          <w:rFonts w:cs="Arial"/>
          <w:sz w:val="16"/>
          <w:szCs w:val="16"/>
        </w:rPr>
        <w:t>i.e.</w:t>
      </w:r>
      <w:proofErr w:type="gramEnd"/>
      <w:r w:rsidRPr="00160CDB">
        <w:rPr>
          <w:rFonts w:cs="Arial"/>
          <w:sz w:val="16"/>
          <w:szCs w:val="16"/>
        </w:rPr>
        <w:t xml:space="preserve"> CV%) for variants with VAFs of 5%, 10%-20%, 30%-40% and 50% are on average, 10.2%, 10.4%, 3.5% and 4.4%, respectively. Copy number variations, loss of heterozygosity, structural rearrangements or aneuploidies are not reported. Insertions or deletions (particularly those &gt; 25 bp in length</w:t>
      </w:r>
      <w:r>
        <w:rPr>
          <w:rFonts w:cs="Arial"/>
          <w:sz w:val="16"/>
          <w:szCs w:val="16"/>
        </w:rPr>
        <w:t>)</w:t>
      </w:r>
      <w:r w:rsidRPr="00160CDB">
        <w:rPr>
          <w:rFonts w:cs="Arial"/>
          <w:sz w:val="16"/>
          <w:szCs w:val="16"/>
        </w:rPr>
        <w:t>, including FLT3-ITDs</w:t>
      </w:r>
      <w:r>
        <w:rPr>
          <w:rFonts w:cs="Arial"/>
          <w:sz w:val="16"/>
          <w:szCs w:val="16"/>
        </w:rPr>
        <w:t xml:space="preserve"> and UBTF-TDs</w:t>
      </w:r>
      <w:r w:rsidRPr="00160CDB">
        <w:rPr>
          <w:rFonts w:cs="Arial"/>
          <w:sz w:val="16"/>
          <w:szCs w:val="16"/>
        </w:rPr>
        <w:t xml:space="preserve">, are not reliably detected by this assay. Genes are analysed using the reference transcripts listed below; coding exons found in alternative transcripts are not assessed by this assay. This assay does not distinguish between somatic and germline variants. </w:t>
      </w:r>
      <w:r>
        <w:rPr>
          <w:rFonts w:cs="Arial"/>
          <w:sz w:val="16"/>
          <w:szCs w:val="16"/>
        </w:rPr>
        <w:t>In addition, the clonal origin of somatic variants (</w:t>
      </w:r>
      <w:proofErr w:type="gramStart"/>
      <w:r>
        <w:rPr>
          <w:rFonts w:cs="Arial"/>
          <w:sz w:val="16"/>
          <w:szCs w:val="16"/>
        </w:rPr>
        <w:t>i.e.</w:t>
      </w:r>
      <w:proofErr w:type="gramEnd"/>
      <w:r>
        <w:rPr>
          <w:rFonts w:cs="Arial"/>
          <w:sz w:val="16"/>
          <w:szCs w:val="16"/>
        </w:rPr>
        <w:t xml:space="preserve"> disease compartment or cell lineage) cannot be determined. </w:t>
      </w:r>
      <w:r w:rsidRPr="001002FC">
        <w:rPr>
          <w:rFonts w:cs="Arial"/>
          <w:sz w:val="16"/>
          <w:szCs w:val="16"/>
        </w:rPr>
        <w:t>Sy</w:t>
      </w:r>
      <w:r w:rsidRPr="00160CDB">
        <w:rPr>
          <w:rFonts w:cs="Arial"/>
          <w:sz w:val="16"/>
          <w:szCs w:val="16"/>
        </w:rPr>
        <w:t xml:space="preserve">nonymous variants are not routinely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w:t>
      </w:r>
      <w:r w:rsidRPr="00D06C2B">
        <w:rPr>
          <w:rFonts w:cs="Arial"/>
          <w:sz w:val="16"/>
          <w:szCs w:val="16"/>
        </w:rPr>
        <w:t>laboratory information for this patient.</w:t>
      </w:r>
    </w:p>
    <w:p w14:paraId="43A3B86B" w14:textId="77777777" w:rsidR="00D05A0E" w:rsidRPr="00160CDB" w:rsidRDefault="00D05A0E" w:rsidP="00D05A0E">
      <w:pPr>
        <w:tabs>
          <w:tab w:val="left" w:pos="8647"/>
          <w:tab w:val="left" w:pos="9540"/>
        </w:tabs>
        <w:spacing w:before="120" w:after="120"/>
        <w:jc w:val="both"/>
        <w:rPr>
          <w:rFonts w:cs="Arial"/>
          <w:b/>
          <w:sz w:val="16"/>
          <w:szCs w:val="16"/>
        </w:rPr>
      </w:pPr>
      <w:r w:rsidRPr="00D06C2B">
        <w:rPr>
          <w:rFonts w:cs="Arial"/>
          <w:b/>
          <w:sz w:val="16"/>
          <w:szCs w:val="16"/>
        </w:rPr>
        <w:t xml:space="preserve">Please note the quantity of tumour derived cell free DNA within this sample is unknown. In addition, the profile of mutations present within the cell free DNA compartment may differ from that in any given individually assessed tumour sample. </w:t>
      </w:r>
      <w:proofErr w:type="gramStart"/>
      <w:r w:rsidRPr="00D06C2B">
        <w:rPr>
          <w:rFonts w:cs="Arial"/>
          <w:b/>
          <w:sz w:val="16"/>
          <w:szCs w:val="16"/>
        </w:rPr>
        <w:t>Therefore</w:t>
      </w:r>
      <w:proofErr w:type="gramEnd"/>
      <w:r w:rsidRPr="00D06C2B">
        <w:rPr>
          <w:rFonts w:cs="Arial"/>
          <w:b/>
          <w:sz w:val="16"/>
          <w:szCs w:val="16"/>
        </w:rPr>
        <w:t xml:space="preserve"> a negative result, or the absence of detection of a particular mutation does not imply its absence from all tumour sites in the patient</w:t>
      </w:r>
      <w:r>
        <w:rPr>
          <w:rFonts w:cs="Arial"/>
          <w:b/>
          <w:sz w:val="16"/>
          <w:szCs w:val="16"/>
        </w:rPr>
        <w:t xml:space="preserve"> </w:t>
      </w:r>
      <w:r w:rsidRPr="0000607E">
        <w:rPr>
          <w:rFonts w:cs="Arial"/>
          <w:b/>
          <w:sz w:val="16"/>
          <w:szCs w:val="16"/>
        </w:rPr>
        <w:t>(Blombery et al. 2018, PMID: 28880377)</w:t>
      </w:r>
      <w:r w:rsidRPr="00D06C2B">
        <w:rPr>
          <w:rFonts w:cs="Arial"/>
          <w:b/>
          <w:sz w:val="16"/>
          <w:szCs w:val="16"/>
        </w:rPr>
        <w:t>. In addition, the sensitivity of this assay for variant detection is not appropriate for monitoring or minimal residual detection but rather for determining mutation profile at diagnosis/relapse.</w:t>
      </w:r>
    </w:p>
    <w:p w14:paraId="7AE6BD1B" w14:textId="77777777" w:rsidR="00D05A0E" w:rsidRPr="00160CDB" w:rsidRDefault="00D05A0E" w:rsidP="00D05A0E">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00F1A5A8" w14:textId="77777777" w:rsidR="00D05A0E" w:rsidRPr="00160CDB" w:rsidRDefault="00D05A0E" w:rsidP="00D05A0E">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516CC06C" w14:textId="77777777" w:rsidR="00D05A0E" w:rsidRPr="00160CDB" w:rsidRDefault="00D05A0E" w:rsidP="00D05A0E">
      <w:pPr>
        <w:tabs>
          <w:tab w:val="left" w:pos="8647"/>
          <w:tab w:val="left" w:pos="9540"/>
        </w:tabs>
        <w:spacing w:after="120"/>
        <w:jc w:val="both"/>
        <w:rPr>
          <w:rFonts w:eastAsia="Times New Roman" w:cs="Arial"/>
          <w:szCs w:val="16"/>
        </w:rPr>
      </w:pPr>
      <w:r>
        <w:rPr>
          <w:rFonts w:eastAsia="Times New Roman" w:cs="Arial"/>
          <w:szCs w:val="16"/>
        </w:rPr>
        <w:t>*</w:t>
      </w:r>
      <w:r w:rsidRPr="00160CDB">
        <w:rPr>
          <w:rFonts w:eastAsia="Times New Roman" w:cs="Arial"/>
          <w:szCs w:val="16"/>
        </w:rPr>
        <w:t xml:space="preserve"> Please note FLT3-ITDs a</w:t>
      </w:r>
      <w:r>
        <w:rPr>
          <w:rFonts w:eastAsia="Times New Roman" w:cs="Arial"/>
          <w:szCs w:val="16"/>
        </w:rPr>
        <w:t>re not detected with this assay</w:t>
      </w:r>
    </w:p>
    <w:p w14:paraId="541ED763" w14:textId="77777777" w:rsidR="00D05A0E" w:rsidRPr="00160CDB" w:rsidRDefault="00D05A0E" w:rsidP="00D05A0E">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3E39C256" w14:textId="77777777" w:rsidR="00D05A0E" w:rsidRPr="00160CDB" w:rsidRDefault="00D05A0E" w:rsidP="00D05A0E">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5162A5">
        <w:rPr>
          <w:rStyle w:val="Normal2Char"/>
          <w:rFonts w:eastAsia="MS Mincho"/>
          <w:i/>
          <w:color w:val="0D0D0D"/>
          <w:sz w:val="16"/>
          <w:szCs w:val="18"/>
        </w:rPr>
        <w:t xml:space="preserve"> </w:t>
      </w:r>
    </w:p>
    <w:p w14:paraId="48E1411F" w14:textId="77777777" w:rsidR="00D05A0E" w:rsidRPr="00160CDB" w:rsidRDefault="00D05A0E" w:rsidP="00D05A0E">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REPORTED_BY1_IN</w:t>
      </w:r>
    </w:p>
    <w:p w14:paraId="048C20FA" w14:textId="77777777" w:rsidR="00D05A0E" w:rsidRPr="00160CDB" w:rsidRDefault="00D05A0E" w:rsidP="00D05A0E">
      <w:pPr>
        <w:tabs>
          <w:tab w:val="left" w:pos="1985"/>
          <w:tab w:val="left" w:pos="9540"/>
        </w:tabs>
        <w:jc w:val="both"/>
        <w:rPr>
          <w:rFonts w:eastAsia="Times New Roman" w:cs="Arial"/>
          <w:b/>
          <w:sz w:val="18"/>
          <w:szCs w:val="18"/>
        </w:rPr>
      </w:pPr>
      <w:r w:rsidRPr="00160CDB">
        <w:rPr>
          <w:rFonts w:eastAsia="Times New Roman" w:cs="Arial"/>
          <w:b/>
          <w:sz w:val="18"/>
          <w:szCs w:val="18"/>
        </w:rPr>
        <w:lastRenderedPageBreak/>
        <w:tab/>
      </w:r>
      <w:r>
        <w:rPr>
          <w:rFonts w:eastAsia="Times New Roman" w:cs="Arial"/>
          <w:b/>
          <w:sz w:val="18"/>
          <w:szCs w:val="18"/>
        </w:rPr>
        <w:t>REPORTED_BY2_IN</w:t>
      </w:r>
    </w:p>
    <w:p w14:paraId="0ED9BAB7" w14:textId="77777777" w:rsidR="00D05A0E" w:rsidRDefault="00D05A0E" w:rsidP="00D05A0E">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51DCB22E" w14:textId="2BD04538" w:rsidR="00D05A0E" w:rsidRPr="0000607E" w:rsidRDefault="00D05A0E" w:rsidP="00D05A0E">
      <w:pPr>
        <w:tabs>
          <w:tab w:val="left" w:pos="1985"/>
          <w:tab w:val="left" w:pos="9540"/>
        </w:tabs>
        <w:jc w:val="both"/>
        <w:rPr>
          <w:rStyle w:val="Normal2Char"/>
          <w:rFonts w:eastAsia="MS Mincho"/>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0F54D1">
        <w:rPr>
          <w:rFonts w:eastAsia="Times New Roman" w:cs="Arial"/>
          <w:b/>
          <w:noProof/>
          <w:sz w:val="18"/>
          <w:szCs w:val="18"/>
        </w:rPr>
        <w:t>30-Oct-2023</w:t>
      </w:r>
      <w:r w:rsidRPr="00160CDB">
        <w:rPr>
          <w:rFonts w:eastAsia="Times New Roman" w:cs="Arial"/>
          <w:b/>
          <w:sz w:val="18"/>
          <w:szCs w:val="18"/>
        </w:rPr>
        <w:fldChar w:fldCharType="end"/>
      </w:r>
    </w:p>
    <w:p w14:paraId="1AAC754A" w14:textId="77777777" w:rsidR="00D05A0E" w:rsidRPr="00C66355" w:rsidRDefault="00D05A0E" w:rsidP="00D05A0E">
      <w:pPr>
        <w:pStyle w:val="EndNoteBibliography"/>
        <w:jc w:val="both"/>
        <w:rPr>
          <w:rFonts w:eastAsia="Times New Roman"/>
          <w:b/>
          <w:noProof w:val="0"/>
          <w:szCs w:val="18"/>
        </w:rPr>
        <w:sectPr w:rsidR="00D05A0E" w:rsidRPr="00C66355" w:rsidSect="00D05A0E">
          <w:headerReference w:type="even" r:id="rId7"/>
          <w:headerReference w:type="default" r:id="rId8"/>
          <w:footerReference w:type="even" r:id="rId9"/>
          <w:footerReference w:type="default" r:id="rId10"/>
          <w:headerReference w:type="first" r:id="rId11"/>
          <w:footerReference w:type="first" r:id="rId12"/>
          <w:pgSz w:w="11900" w:h="16840"/>
          <w:pgMar w:top="1674" w:right="851" w:bottom="1134" w:left="851" w:header="680" w:footer="851" w:gutter="0"/>
          <w:pgNumType w:start="1"/>
          <w:cols w:space="708"/>
        </w:sectPr>
      </w:pPr>
    </w:p>
    <w:p w14:paraId="651C64E8" w14:textId="77777777" w:rsidR="00D05A0E" w:rsidRPr="006F384F" w:rsidRDefault="00D05A0E" w:rsidP="00D05A0E">
      <w:pPr>
        <w:rPr>
          <w:rFonts w:cs="Arial"/>
          <w:sz w:val="6"/>
          <w:szCs w:val="6"/>
        </w:rPr>
      </w:pPr>
    </w:p>
    <w:p w14:paraId="510D4F92" w14:textId="0194FA67" w:rsidR="00DF7C56" w:rsidRPr="00D05A0E" w:rsidRDefault="00D05A0E" w:rsidP="00D05A0E">
      <w:r w:rsidRPr="006F384F">
        <w:rPr>
          <w:rFonts w:cs="Arial"/>
          <w:b/>
          <w:bCs/>
          <w:sz w:val="20"/>
          <w:szCs w:val="20"/>
        </w:rPr>
        <w:t>CLINICAL_CONTEXT_IN</w:t>
      </w:r>
    </w:p>
    <w:sectPr w:rsidR="00DF7C56" w:rsidRPr="00D05A0E" w:rsidSect="00FC3DB3">
      <w:footerReference w:type="default" r:id="rId13"/>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39CFC" w14:textId="77777777" w:rsidR="000C6FF1" w:rsidRDefault="000C6FF1" w:rsidP="00D05A0E">
      <w:r>
        <w:separator/>
      </w:r>
    </w:p>
  </w:endnote>
  <w:endnote w:type="continuationSeparator" w:id="0">
    <w:p w14:paraId="4A3A9453" w14:textId="77777777" w:rsidR="000C6FF1" w:rsidRDefault="000C6FF1" w:rsidP="00D05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27BA4" w14:textId="77777777" w:rsidR="001559B4" w:rsidRDefault="00D05A0E"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9AE24E2" w14:textId="77777777" w:rsidR="001559B4" w:rsidRDefault="000C6FF1" w:rsidP="00AD585B">
    <w:pPr>
      <w:pStyle w:val="Footer"/>
      <w:ind w:right="360"/>
    </w:pPr>
  </w:p>
  <w:p w14:paraId="38C9D7EE" w14:textId="77777777" w:rsidR="001559B4" w:rsidRDefault="000C6FF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7C89B" w14:textId="77777777" w:rsidR="001559B4" w:rsidRPr="00D4064A" w:rsidRDefault="00D05A0E"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32509E">
      <w:rPr>
        <w:rFonts w:cs="Arial"/>
        <w:i/>
        <w:noProof/>
        <w:sz w:val="18"/>
        <w:szCs w:val="18"/>
      </w:rPr>
      <w:t>Haematological Malignancy</w:t>
    </w:r>
    <w:r w:rsidRPr="0032509E">
      <w:rPr>
        <w:i/>
        <w:sz w:val="18"/>
      </w:rPr>
      <w:t xml:space="preserve"> Gene Panel Report</w:t>
    </w:r>
  </w:p>
  <w:p w14:paraId="0CC79FC1" w14:textId="77777777" w:rsidR="001559B4" w:rsidRPr="00D4064A" w:rsidRDefault="00D05A0E" w:rsidP="000329F7">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6148607D" w14:textId="77777777" w:rsidR="001559B4" w:rsidRPr="00D12D67" w:rsidRDefault="00D05A0E" w:rsidP="00270007">
    <w:pPr>
      <w:pStyle w:val="Footer"/>
      <w:jc w:val="right"/>
      <w:rPr>
        <w:i/>
        <w:szCs w:val="12"/>
      </w:rPr>
    </w:pPr>
    <w:r w:rsidRPr="0032509E">
      <w:rPr>
        <w:i/>
        <w:szCs w:val="12"/>
      </w:rPr>
      <w:t>MP-MH-NGS-9</w:t>
    </w:r>
    <w:r>
      <w:rPr>
        <w:i/>
        <w:szCs w:val="12"/>
      </w:rPr>
      <w:t>VE</w:t>
    </w:r>
    <w:r w:rsidRPr="00D4064A">
      <w:rPr>
        <w:i/>
        <w:szCs w:val="12"/>
      </w:rPr>
      <w:t xml:space="preserve"> v0</w:t>
    </w:r>
    <w:r>
      <w:rPr>
        <w:i/>
        <w:szCs w:val="12"/>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FFEA5" w14:textId="77777777" w:rsidR="00A11A15" w:rsidRDefault="000C6FF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0A8D4" w14:textId="77777777" w:rsidR="001559B4" w:rsidRPr="00D4064A" w:rsidRDefault="00D05A0E" w:rsidP="00FC3DB3">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6FA9C0A1" w14:textId="77777777" w:rsidR="001559B4" w:rsidRPr="00D4064A" w:rsidRDefault="00D05A0E"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5E4FC4BE" w14:textId="77777777" w:rsidR="001559B4" w:rsidRPr="00D4064A" w:rsidRDefault="00D05A0E" w:rsidP="00270007">
    <w:pPr>
      <w:pStyle w:val="Footer"/>
      <w:jc w:val="right"/>
      <w:rPr>
        <w:i/>
        <w:szCs w:val="12"/>
      </w:rPr>
    </w:pPr>
    <w:r w:rsidRPr="0032509E">
      <w:rPr>
        <w:i/>
        <w:szCs w:val="12"/>
      </w:rPr>
      <w:t>MP-MH-NGS-9</w:t>
    </w:r>
    <w:r>
      <w:rPr>
        <w:i/>
        <w:szCs w:val="12"/>
      </w:rPr>
      <w:t>VE</w:t>
    </w:r>
    <w:r w:rsidRPr="00D4064A">
      <w:rPr>
        <w:i/>
        <w:szCs w:val="12"/>
      </w:rPr>
      <w:t xml:space="preserve"> v0</w:t>
    </w:r>
    <w:r>
      <w:rPr>
        <w:i/>
        <w:szCs w:val="12"/>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AFF9F" w14:textId="77777777" w:rsidR="000C6FF1" w:rsidRDefault="000C6FF1" w:rsidP="00D05A0E">
      <w:r>
        <w:separator/>
      </w:r>
    </w:p>
  </w:footnote>
  <w:footnote w:type="continuationSeparator" w:id="0">
    <w:p w14:paraId="4DA2F6A7" w14:textId="77777777" w:rsidR="000C6FF1" w:rsidRDefault="000C6FF1" w:rsidP="00D05A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B1A28" w14:textId="77777777" w:rsidR="00A11A15" w:rsidRDefault="000C6F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FF56B" w14:textId="77777777" w:rsidR="001559B4" w:rsidRPr="00963761" w:rsidRDefault="00D05A0E"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122D54AC" wp14:editId="7015F2F1">
          <wp:simplePos x="0" y="0"/>
          <wp:positionH relativeFrom="column">
            <wp:posOffset>-111015</wp:posOffset>
          </wp:positionH>
          <wp:positionV relativeFrom="paragraph">
            <wp:posOffset>-113720</wp:posOffset>
          </wp:positionV>
          <wp:extent cx="1605518" cy="492981"/>
          <wp:effectExtent l="0" t="0" r="0" b="2540"/>
          <wp:wrapNone/>
          <wp:docPr id="1" name="Picture 1"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15160B0E" wp14:editId="09B2C32C">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1DB0D4" w14:textId="77777777" w:rsidR="001559B4" w:rsidRPr="00B2330E" w:rsidRDefault="00D05A0E"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160B0E"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" filled="f" stroked="f">
              <v:textbox>
                <w:txbxContent>
                  <w:p w14:paraId="061DB0D4" w14:textId="77777777" w:rsidR="001559B4" w:rsidRPr="00B2330E" w:rsidRDefault="00D05A0E"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29F63378" wp14:editId="65215D2E">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7EB9A3" w14:textId="77777777" w:rsidR="001559B4" w:rsidRDefault="00D05A0E" w:rsidP="00F42F75">
                          <w:r>
                            <w:rPr>
                              <w:noProof/>
                              <w:lang w:eastAsia="en-AU"/>
                            </w:rPr>
                            <w:drawing>
                              <wp:inline distT="0" distB="0" distL="0" distR="0" wp14:anchorId="5912808E" wp14:editId="35DAAD0A">
                                <wp:extent cx="457200" cy="139700"/>
                                <wp:effectExtent l="0" t="0" r="0" b="1270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4A46846" w14:textId="77777777" w:rsidR="001559B4" w:rsidRPr="00973272" w:rsidRDefault="00D05A0E"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724118E6" w14:textId="77777777" w:rsidR="001559B4" w:rsidRPr="00973272" w:rsidRDefault="00D05A0E"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466516BB" w14:textId="77777777" w:rsidR="001559B4" w:rsidRPr="00973272" w:rsidRDefault="00D05A0E"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2F25E26B" w14:textId="77777777" w:rsidR="001559B4" w:rsidRPr="00973272" w:rsidRDefault="00D05A0E"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F63378"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RbWBsfMBAADMAwAADgAAAAAAAAAAAAAAAAAuAgAAZHJz&#10;L2Uyb0RvYy54bWxQSwECLQAUAAYACAAAACEAKaK2Hd4AAAAKAQAADwAAAAAAAAAAAAAAAABNBAAA&#10;ZHJzL2Rvd25yZXYueG1sUEsFBgAAAAAEAAQA8wAAAFgFAAAAAA==&#10;" filled="f" stroked="f">
              <v:textbox>
                <w:txbxContent>
                  <w:p w14:paraId="1C7EB9A3" w14:textId="77777777" w:rsidR="001559B4" w:rsidRDefault="00D05A0E" w:rsidP="00F42F75">
                    <w:r>
                      <w:rPr>
                        <w:noProof/>
                        <w:lang w:eastAsia="en-AU"/>
                      </w:rPr>
                      <w:drawing>
                        <wp:inline distT="0" distB="0" distL="0" distR="0" wp14:anchorId="5912808E" wp14:editId="35DAAD0A">
                          <wp:extent cx="457200" cy="139700"/>
                          <wp:effectExtent l="0" t="0" r="0" b="1270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4A46846" w14:textId="77777777" w:rsidR="001559B4" w:rsidRPr="00973272" w:rsidRDefault="00D05A0E"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724118E6" w14:textId="77777777" w:rsidR="001559B4" w:rsidRPr="00973272" w:rsidRDefault="00D05A0E"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466516BB" w14:textId="77777777" w:rsidR="001559B4" w:rsidRPr="00973272" w:rsidRDefault="00D05A0E"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2F25E26B" w14:textId="77777777" w:rsidR="001559B4" w:rsidRPr="00973272" w:rsidRDefault="00D05A0E"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4C009EB4" wp14:editId="4ED535EF">
          <wp:simplePos x="0" y="0"/>
          <wp:positionH relativeFrom="column">
            <wp:posOffset>6286500</wp:posOffset>
          </wp:positionH>
          <wp:positionV relativeFrom="paragraph">
            <wp:posOffset>-81280</wp:posOffset>
          </wp:positionV>
          <wp:extent cx="342900" cy="546100"/>
          <wp:effectExtent l="0" t="0" r="12700" b="1270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6482E3CB" wp14:editId="0C69D803">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2D303A" w14:textId="77777777" w:rsidR="001559B4" w:rsidRDefault="000C6FF1"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82E3CB" 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" filled="f" stroked="f">
              <v:textbox>
                <w:txbxContent>
                  <w:p w14:paraId="212D303A" w14:textId="77777777" w:rsidR="001559B4" w:rsidRDefault="000C6FF1" w:rsidP="00F42F75"/>
                </w:txbxContent>
              </v:textbox>
              <w10:wrap type="tight"/>
            </v:shape>
          </w:pict>
        </mc:Fallback>
      </mc:AlternateContent>
    </w:r>
    <w:r w:rsidRPr="003F6432">
      <w:rPr>
        <w:noProof/>
      </w:rPr>
      <w:t xml:space="preserve"> </w:t>
    </w:r>
  </w:p>
  <w:p w14:paraId="5086B3D5" w14:textId="77777777" w:rsidR="001559B4" w:rsidRDefault="000C6FF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8DB7F" w14:textId="77777777" w:rsidR="00A11A15" w:rsidRDefault="000C6F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A0E"/>
    <w:rsid w:val="000C6FF1"/>
    <w:rsid w:val="000F54D1"/>
    <w:rsid w:val="001102D8"/>
    <w:rsid w:val="007F0FE2"/>
    <w:rsid w:val="00D05A0E"/>
    <w:rsid w:val="00DF7C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281D3"/>
  <w15:chartTrackingRefBased/>
  <w15:docId w15:val="{BF366A37-FCF0-407A-9E03-5D2D875C6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FE2"/>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7F0FE2"/>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7F0FE2"/>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0FE2"/>
    <w:pPr>
      <w:tabs>
        <w:tab w:val="center" w:pos="4320"/>
        <w:tab w:val="right" w:pos="8640"/>
      </w:tabs>
    </w:pPr>
  </w:style>
  <w:style w:type="character" w:customStyle="1" w:styleId="HeaderChar">
    <w:name w:val="Header Char"/>
    <w:basedOn w:val="DefaultParagraphFont"/>
    <w:link w:val="Header"/>
    <w:uiPriority w:val="99"/>
    <w:rsid w:val="007F0FE2"/>
    <w:rPr>
      <w:rFonts w:ascii="Arial" w:eastAsia="MS Mincho" w:hAnsi="Arial" w:cs="Times New Roman"/>
      <w:sz w:val="12"/>
      <w:szCs w:val="24"/>
    </w:rPr>
  </w:style>
  <w:style w:type="paragraph" w:styleId="Footer">
    <w:name w:val="footer"/>
    <w:basedOn w:val="Normal"/>
    <w:link w:val="FooterChar"/>
    <w:uiPriority w:val="99"/>
    <w:unhideWhenUsed/>
    <w:rsid w:val="007F0FE2"/>
    <w:pPr>
      <w:tabs>
        <w:tab w:val="center" w:pos="4320"/>
        <w:tab w:val="right" w:pos="8640"/>
      </w:tabs>
    </w:pPr>
  </w:style>
  <w:style w:type="character" w:customStyle="1" w:styleId="FooterChar">
    <w:name w:val="Footer Char"/>
    <w:basedOn w:val="DefaultParagraphFont"/>
    <w:link w:val="Footer"/>
    <w:uiPriority w:val="99"/>
    <w:rsid w:val="007F0FE2"/>
    <w:rPr>
      <w:rFonts w:ascii="Arial" w:eastAsia="MS Mincho" w:hAnsi="Arial" w:cs="Times New Roman"/>
      <w:sz w:val="12"/>
      <w:szCs w:val="24"/>
    </w:rPr>
  </w:style>
  <w:style w:type="character" w:styleId="PageNumber">
    <w:name w:val="page number"/>
    <w:basedOn w:val="DefaultParagraphFont"/>
    <w:uiPriority w:val="99"/>
    <w:semiHidden/>
    <w:unhideWhenUsed/>
    <w:rsid w:val="007F0FE2"/>
  </w:style>
  <w:style w:type="paragraph" w:customStyle="1" w:styleId="Normal2">
    <w:name w:val="Normal2"/>
    <w:basedOn w:val="Normal"/>
    <w:link w:val="Normal2Char"/>
    <w:qFormat/>
    <w:rsid w:val="007F0FE2"/>
    <w:rPr>
      <w:rFonts w:eastAsia="Times New Roman" w:cs="Arial"/>
      <w:noProof/>
      <w:color w:val="000080"/>
      <w:sz w:val="22"/>
      <w:szCs w:val="22"/>
      <w:lang w:eastAsia="ru-RU"/>
    </w:rPr>
  </w:style>
  <w:style w:type="character" w:customStyle="1" w:styleId="Normal2Char">
    <w:name w:val="Normal2 Char"/>
    <w:link w:val="Normal2"/>
    <w:rsid w:val="007F0FE2"/>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7F0FE2"/>
    <w:rPr>
      <w:rFonts w:cs="Arial"/>
      <w:noProof/>
      <w:sz w:val="16"/>
    </w:rPr>
  </w:style>
  <w:style w:type="character" w:customStyle="1" w:styleId="EndNoteBibliographyChar">
    <w:name w:val="EndNote Bibliography Char"/>
    <w:basedOn w:val="DefaultParagraphFont"/>
    <w:link w:val="EndNoteBibliography"/>
    <w:rsid w:val="007F0FE2"/>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7F0F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0FE2"/>
    <w:rPr>
      <w:rFonts w:ascii="Lucida Grande" w:eastAsia="MS Mincho" w:hAnsi="Lucida Grande" w:cs="Lucida Grande"/>
      <w:sz w:val="18"/>
      <w:szCs w:val="18"/>
    </w:rPr>
  </w:style>
  <w:style w:type="paragraph" w:styleId="BodyText">
    <w:name w:val="Body Text"/>
    <w:basedOn w:val="Normal"/>
    <w:link w:val="BodyTextChar"/>
    <w:uiPriority w:val="99"/>
    <w:rsid w:val="007F0FE2"/>
    <w:rPr>
      <w:rFonts w:ascii="Times New Roman" w:eastAsia="Times New Roman" w:hAnsi="Times New Roman"/>
      <w:szCs w:val="20"/>
    </w:rPr>
  </w:style>
  <w:style w:type="character" w:customStyle="1" w:styleId="BodyTextChar">
    <w:name w:val="Body Text Char"/>
    <w:link w:val="BodyText"/>
    <w:uiPriority w:val="99"/>
    <w:rsid w:val="007F0FE2"/>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7F0FE2"/>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7F0FE2"/>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7F0FE2"/>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7F0FE2"/>
    <w:rPr>
      <w:rFonts w:ascii="Calibri" w:hAnsi="Calibri"/>
      <w:sz w:val="32"/>
      <w:szCs w:val="32"/>
    </w:rPr>
  </w:style>
  <w:style w:type="character" w:customStyle="1" w:styleId="CLIN1HEADINGChar">
    <w:name w:val="CLIN1(HEADING) Char"/>
    <w:basedOn w:val="Heading1Char"/>
    <w:link w:val="CLIN1HEADING"/>
    <w:rsid w:val="007F0FE2"/>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7F0FE2"/>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7F0FE2"/>
    <w:rPr>
      <w:rFonts w:ascii="Calibri" w:hAnsi="Calibri"/>
    </w:rPr>
  </w:style>
  <w:style w:type="character" w:customStyle="1" w:styleId="CLIN2SUBHEADINGSChar">
    <w:name w:val="CLIN2(SUBHEADINGS) Char"/>
    <w:basedOn w:val="Heading2Char"/>
    <w:link w:val="CLIN2SUBHEADINGS"/>
    <w:rsid w:val="007F0FE2"/>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7F0FE2"/>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7F0FE2"/>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7F0FE2"/>
    <w:pPr>
      <w:numPr>
        <w:numId w:val="2"/>
      </w:numPr>
    </w:pPr>
    <w:rPr>
      <w:rFonts w:ascii="Calibri" w:hAnsi="Calibri"/>
    </w:rPr>
  </w:style>
  <w:style w:type="character" w:customStyle="1" w:styleId="CLIN3BULLETPOINTSChar">
    <w:name w:val="CLIN3(BULLET POINTS) Char"/>
    <w:basedOn w:val="DefaultParagraphFont"/>
    <w:link w:val="CLIN3BULLETPOINTS"/>
    <w:rsid w:val="007F0FE2"/>
    <w:rPr>
      <w:rFonts w:ascii="Calibri" w:eastAsia="MS Mincho" w:hAnsi="Calibri" w:cstheme="majorHAnsi"/>
      <w:noProof/>
      <w:sz w:val="18"/>
      <w:szCs w:val="18"/>
      <w:lang w:eastAsia="en-AU"/>
    </w:rPr>
  </w:style>
  <w:style w:type="paragraph" w:customStyle="1" w:styleId="CLIN4">
    <w:name w:val="CLIN4"/>
    <w:basedOn w:val="Normal"/>
    <w:link w:val="CLIN4Char"/>
    <w:qFormat/>
    <w:rsid w:val="007F0FE2"/>
    <w:pPr>
      <w:jc w:val="both"/>
    </w:pPr>
    <w:rPr>
      <w:rFonts w:ascii="Calibri" w:hAnsi="Calibri"/>
      <w:noProof/>
    </w:rPr>
  </w:style>
  <w:style w:type="character" w:customStyle="1" w:styleId="CLIN4Char">
    <w:name w:val="CLIN4 Char"/>
    <w:basedOn w:val="DefaultParagraphFont"/>
    <w:link w:val="CLIN4"/>
    <w:rsid w:val="007F0FE2"/>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7F0FE2"/>
    <w:rPr>
      <w:sz w:val="18"/>
      <w:szCs w:val="18"/>
    </w:rPr>
  </w:style>
  <w:style w:type="paragraph" w:styleId="CommentText">
    <w:name w:val="annotation text"/>
    <w:basedOn w:val="Normal"/>
    <w:link w:val="CommentTextChar"/>
    <w:uiPriority w:val="99"/>
    <w:semiHidden/>
    <w:unhideWhenUsed/>
    <w:rsid w:val="007F0FE2"/>
  </w:style>
  <w:style w:type="character" w:customStyle="1" w:styleId="CommentTextChar">
    <w:name w:val="Comment Text Char"/>
    <w:basedOn w:val="DefaultParagraphFont"/>
    <w:link w:val="CommentText"/>
    <w:uiPriority w:val="99"/>
    <w:semiHidden/>
    <w:rsid w:val="007F0FE2"/>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7F0FE2"/>
    <w:rPr>
      <w:b/>
      <w:bCs/>
      <w:sz w:val="20"/>
      <w:szCs w:val="20"/>
    </w:rPr>
  </w:style>
  <w:style w:type="character" w:customStyle="1" w:styleId="CommentSubjectChar">
    <w:name w:val="Comment Subject Char"/>
    <w:basedOn w:val="CommentTextChar"/>
    <w:link w:val="CommentSubject"/>
    <w:uiPriority w:val="99"/>
    <w:semiHidden/>
    <w:rsid w:val="007F0FE2"/>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7F0FE2"/>
    <w:pPr>
      <w:jc w:val="center"/>
    </w:pPr>
    <w:rPr>
      <w:rFonts w:cs="Arial"/>
      <w:noProof/>
      <w:sz w:val="16"/>
    </w:rPr>
  </w:style>
  <w:style w:type="character" w:customStyle="1" w:styleId="EndNoteBibliographyTitleChar">
    <w:name w:val="EndNote Bibliography Title Char"/>
    <w:basedOn w:val="DefaultParagraphFont"/>
    <w:link w:val="EndNoteBibliographyTitle"/>
    <w:rsid w:val="007F0FE2"/>
    <w:rPr>
      <w:rFonts w:ascii="Arial" w:eastAsia="MS Mincho" w:hAnsi="Arial" w:cs="Arial"/>
      <w:noProof/>
      <w:sz w:val="16"/>
      <w:szCs w:val="24"/>
    </w:rPr>
  </w:style>
  <w:style w:type="character" w:styleId="EndnoteReference">
    <w:name w:val="endnote reference"/>
    <w:uiPriority w:val="99"/>
    <w:semiHidden/>
    <w:unhideWhenUsed/>
    <w:rsid w:val="007F0FE2"/>
    <w:rPr>
      <w:vertAlign w:val="superscript"/>
    </w:rPr>
  </w:style>
  <w:style w:type="paragraph" w:styleId="EndnoteText">
    <w:name w:val="endnote text"/>
    <w:basedOn w:val="Normal"/>
    <w:link w:val="EndnoteTextChar"/>
    <w:uiPriority w:val="99"/>
    <w:semiHidden/>
    <w:unhideWhenUsed/>
    <w:rsid w:val="007F0FE2"/>
  </w:style>
  <w:style w:type="character" w:customStyle="1" w:styleId="EndnoteTextChar">
    <w:name w:val="Endnote Text Char"/>
    <w:basedOn w:val="DefaultParagraphFont"/>
    <w:link w:val="EndnoteText"/>
    <w:uiPriority w:val="99"/>
    <w:semiHidden/>
    <w:rsid w:val="007F0FE2"/>
    <w:rPr>
      <w:rFonts w:ascii="Arial" w:eastAsia="MS Mincho" w:hAnsi="Arial" w:cs="Times New Roman"/>
      <w:sz w:val="12"/>
      <w:szCs w:val="24"/>
    </w:rPr>
  </w:style>
  <w:style w:type="character" w:styleId="FollowedHyperlink">
    <w:name w:val="FollowedHyperlink"/>
    <w:uiPriority w:val="99"/>
    <w:semiHidden/>
    <w:unhideWhenUsed/>
    <w:rsid w:val="007F0FE2"/>
    <w:rPr>
      <w:color w:val="800080"/>
      <w:u w:val="single"/>
    </w:rPr>
  </w:style>
  <w:style w:type="character" w:styleId="FootnoteReference">
    <w:name w:val="footnote reference"/>
    <w:uiPriority w:val="99"/>
    <w:unhideWhenUsed/>
    <w:rsid w:val="007F0FE2"/>
    <w:rPr>
      <w:vertAlign w:val="superscript"/>
    </w:rPr>
  </w:style>
  <w:style w:type="paragraph" w:styleId="FootnoteText">
    <w:name w:val="footnote text"/>
    <w:basedOn w:val="Normal"/>
    <w:link w:val="FootnoteTextChar"/>
    <w:uiPriority w:val="99"/>
    <w:unhideWhenUsed/>
    <w:rsid w:val="007F0FE2"/>
  </w:style>
  <w:style w:type="character" w:customStyle="1" w:styleId="FootnoteTextChar">
    <w:name w:val="Footnote Text Char"/>
    <w:basedOn w:val="DefaultParagraphFont"/>
    <w:link w:val="FootnoteText"/>
    <w:uiPriority w:val="99"/>
    <w:rsid w:val="007F0FE2"/>
    <w:rPr>
      <w:rFonts w:ascii="Arial" w:eastAsia="MS Mincho" w:hAnsi="Arial" w:cs="Times New Roman"/>
      <w:sz w:val="12"/>
      <w:szCs w:val="24"/>
    </w:rPr>
  </w:style>
  <w:style w:type="character" w:styleId="Hyperlink">
    <w:name w:val="Hyperlink"/>
    <w:uiPriority w:val="99"/>
    <w:rsid w:val="007F0FE2"/>
    <w:rPr>
      <w:color w:val="0000FF"/>
      <w:u w:val="single"/>
    </w:rPr>
  </w:style>
  <w:style w:type="table" w:styleId="LightGrid-Accent1">
    <w:name w:val="Light Grid Accent 1"/>
    <w:basedOn w:val="TableNormal"/>
    <w:uiPriority w:val="62"/>
    <w:rsid w:val="007F0FE2"/>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7F0FE2"/>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7F0FE2"/>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7F0FE2"/>
    <w:rPr>
      <w:color w:val="808080"/>
    </w:rPr>
  </w:style>
  <w:style w:type="character" w:customStyle="1" w:styleId="st">
    <w:name w:val="st"/>
    <w:rsid w:val="007F0FE2"/>
  </w:style>
  <w:style w:type="character" w:customStyle="1" w:styleId="st1">
    <w:name w:val="st1"/>
    <w:basedOn w:val="DefaultParagraphFont"/>
    <w:rsid w:val="007F0FE2"/>
  </w:style>
  <w:style w:type="character" w:customStyle="1" w:styleId="st2">
    <w:name w:val="st2"/>
    <w:basedOn w:val="DefaultParagraphFont"/>
    <w:rsid w:val="007F0FE2"/>
    <w:rPr>
      <w:rFonts w:ascii="Times New Roman" w:hAnsi="Times New Roman" w:cs="Times New Roman" w:hint="default"/>
      <w:color w:val="000000"/>
      <w:sz w:val="24"/>
      <w:szCs w:val="24"/>
    </w:rPr>
  </w:style>
  <w:style w:type="character" w:styleId="SubtleReference">
    <w:name w:val="Subtle Reference"/>
    <w:uiPriority w:val="31"/>
    <w:qFormat/>
    <w:rsid w:val="007F0FE2"/>
    <w:rPr>
      <w:rFonts w:asciiTheme="majorHAnsi" w:hAnsiTheme="majorHAnsi" w:cstheme="majorHAnsi"/>
      <w:noProof/>
      <w:sz w:val="12"/>
      <w:lang w:val="en-US"/>
    </w:rPr>
  </w:style>
  <w:style w:type="table" w:styleId="TableGrid">
    <w:name w:val="Table Grid"/>
    <w:basedOn w:val="TableNormal"/>
    <w:uiPriority w:val="59"/>
    <w:rsid w:val="007F0FE2"/>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7F0FE2"/>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832</Words>
  <Characters>4744</Characters>
  <Application>Microsoft Office Word</Application>
  <DocSecurity>0</DocSecurity>
  <Lines>39</Lines>
  <Paragraphs>11</Paragraphs>
  <ScaleCrop>false</ScaleCrop>
  <Company>Peter MacCallum Cancer Center</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3</cp:revision>
  <dcterms:created xsi:type="dcterms:W3CDTF">2023-10-27T07:00:00Z</dcterms:created>
  <dcterms:modified xsi:type="dcterms:W3CDTF">2023-11-01T03:05:00Z</dcterms:modified>
</cp:coreProperties>
</file>