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B213FD" w:rsidRPr="00C66355" w:rsidRDefault="00B213FD"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B213FD" w:rsidRPr="00C66355" w:rsidRDefault="00B213FD"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B213FD" w:rsidRPr="00C66355" w:rsidRDefault="00B213FD"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B213FD" w:rsidRPr="00C66355" w:rsidRDefault="00B213FD"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B213FD" w:rsidRPr="00C66355" w:rsidRDefault="00B213FD"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B213FD" w:rsidRPr="0046291C" w:rsidRDefault="00B213FD"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B213FD" w:rsidRDefault="00B213FD"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B213FD" w:rsidRPr="00C66355" w:rsidRDefault="00B213FD"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B213FD" w:rsidRPr="006C1427" w:rsidRDefault="00B213FD"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B213FD" w:rsidRPr="00C66355" w:rsidRDefault="00B213FD"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B213FD" w:rsidRPr="00C66355" w:rsidRDefault="00B213FD"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B213FD" w:rsidRPr="00B8711A" w:rsidRDefault="00B213FD"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B213FD" w:rsidRPr="00C66355" w:rsidRDefault="00B213FD"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77777777" w:rsidR="00B213FD" w:rsidRPr="00C66355" w:rsidRDefault="00B213FD"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81</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B213FD" w:rsidRDefault="00B213FD"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B213FD" w:rsidRPr="00A92656" w:rsidRDefault="00B213FD"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B213FD" w:rsidRPr="00C66355" w:rsidRDefault="00B213FD"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B213FD" w:rsidRPr="00C66355" w:rsidRDefault="00B213FD" w:rsidP="00B213FD">
      <w:pPr>
        <w:tabs>
          <w:tab w:val="left" w:pos="8647"/>
          <w:tab w:val="left" w:pos="9540"/>
        </w:tabs>
        <w:spacing w:before="120" w:after="120"/>
        <w:jc w:val="both"/>
        <w:rPr>
          <w:rFonts w:cs="Arial"/>
          <w:b/>
          <w:sz w:val="16"/>
          <w:szCs w:val="16"/>
        </w:rPr>
      </w:pPr>
    </w:p>
    <w:p w14:paraId="1E83B567"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C66355">
        <w:rPr>
          <w:rFonts w:cs="Arial"/>
          <w:sz w:val="16"/>
          <w:szCs w:val="16"/>
        </w:rPr>
        <w:t xml:space="preserve">) and sequenced on an Illumina NextSeq500 with 150 bp paired end reads. </w:t>
      </w:r>
      <w:r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2DC6A986" w:rsidR="00B213FD" w:rsidRPr="00BB1FED" w:rsidRDefault="00B213FD" w:rsidP="00B213FD">
      <w:pPr>
        <w:tabs>
          <w:tab w:val="left" w:pos="8647"/>
          <w:tab w:val="left" w:pos="9540"/>
        </w:tabs>
        <w:spacing w:before="120" w:after="120"/>
        <w:jc w:val="both"/>
        <w:rPr>
          <w:rFonts w:cs="Arial"/>
          <w:sz w:val="16"/>
          <w:szCs w:val="16"/>
        </w:rPr>
      </w:pPr>
      <w:r w:rsidRPr="00BB1FED">
        <w:rPr>
          <w:rFonts w:cs="Arial"/>
          <w:sz w:val="16"/>
          <w:szCs w:val="16"/>
        </w:rPr>
        <w:t xml:space="preserve">The detection limit of this assay for specimens sequenced to the target read depth of 500x is a variant allele frequency (VAF) of approximately 2% with the exception of </w:t>
      </w:r>
      <w:r w:rsidR="00784F06" w:rsidRPr="00031025">
        <w:rPr>
          <w:rFonts w:cs="Arial"/>
          <w:sz w:val="16"/>
          <w:szCs w:val="16"/>
        </w:rPr>
        <w:t>ASXL1 c.1934</w:t>
      </w:r>
      <w:proofErr w:type="gramStart"/>
      <w:r w:rsidR="00784F06" w:rsidRPr="00031025">
        <w:rPr>
          <w:rFonts w:cs="Arial"/>
          <w:sz w:val="16"/>
          <w:szCs w:val="16"/>
        </w:rPr>
        <w:t>dup;p</w:t>
      </w:r>
      <w:proofErr w:type="gramEnd"/>
      <w:r w:rsidR="00784F06" w:rsidRPr="00031025">
        <w:rPr>
          <w:rFonts w:cs="Arial"/>
          <w:sz w:val="16"/>
          <w:szCs w:val="16"/>
        </w:rPr>
        <w:t>.Gly646Trpfs*12 (detection limit ~ 5%-10%), CEBPA and TERT (detection limit ~ 10%)</w:t>
      </w:r>
      <w:r w:rsidRPr="00BB1FED">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84F06" w:rsidRPr="00031025">
        <w:rPr>
          <w:rFonts w:cs="Arial"/>
          <w:sz w:val="16"/>
          <w:szCs w:val="16"/>
        </w:rPr>
        <w:t>The measurement of uncertainty provided as a percentage relative standard uncertainty (</w:t>
      </w:r>
      <w:proofErr w:type="gramStart"/>
      <w:r w:rsidR="00784F06" w:rsidRPr="00031025">
        <w:rPr>
          <w:rFonts w:cs="Arial"/>
          <w:sz w:val="16"/>
          <w:szCs w:val="16"/>
        </w:rPr>
        <w:t>i.e.</w:t>
      </w:r>
      <w:proofErr w:type="gramEnd"/>
      <w:r w:rsidR="00784F06" w:rsidRPr="00031025">
        <w:rPr>
          <w:rFonts w:cs="Arial"/>
          <w:sz w:val="16"/>
          <w:szCs w:val="16"/>
        </w:rPr>
        <w:t xml:space="preserve"> CV%) for variants with VAFs of 2%, 5%-10%, 20%-40% and 50% are on average, 15.4%, 8.6%, 4.0% and 1.8%, respectively.</w:t>
      </w:r>
      <w:r w:rsidRPr="00BB1FED">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B1FED">
        <w:rPr>
          <w:rFonts w:cs="Arial"/>
          <w:sz w:val="16"/>
          <w:szCs w:val="16"/>
        </w:rPr>
        <w:t>, including FLT3-ITDs</w:t>
      </w:r>
      <w:r>
        <w:rPr>
          <w:rFonts w:cs="Arial"/>
          <w:sz w:val="16"/>
          <w:szCs w:val="16"/>
        </w:rPr>
        <w:t xml:space="preserve"> and UBTF-TDs</w:t>
      </w:r>
      <w:r w:rsidRPr="00BB1FED">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01523E">
        <w:rPr>
          <w:rFonts w:cs="Arial"/>
          <w:sz w:val="16"/>
          <w:szCs w:val="16"/>
        </w:rPr>
        <w:t>S</w:t>
      </w:r>
      <w:r w:rsidRPr="00BB1FED">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B213FD" w:rsidRPr="00C66355" w:rsidRDefault="00B213FD"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77777777" w:rsidR="00B213FD" w:rsidRDefault="00B213FD"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detected with this assay. A separate assay may have been </w:t>
      </w:r>
      <w:proofErr w:type="gramStart"/>
      <w:r>
        <w:rPr>
          <w:rFonts w:eastAsia="Times New Roman" w:cs="Arial"/>
          <w:szCs w:val="16"/>
        </w:rPr>
        <w:t>performed,</w:t>
      </w:r>
      <w:proofErr w:type="gramEnd"/>
      <w:r>
        <w:rPr>
          <w:rFonts w:eastAsia="Times New Roman" w:cs="Arial"/>
          <w:szCs w:val="16"/>
        </w:rPr>
        <w:t xml:space="preserve"> result included in Result Summary if sample tested.</w:t>
      </w:r>
    </w:p>
    <w:p w14:paraId="0C11A641"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REPORTED_BY1_IN</w:t>
      </w:r>
    </w:p>
    <w:p w14:paraId="15938D5E"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ab/>
      </w:r>
      <w:r>
        <w:rPr>
          <w:rFonts w:eastAsia="Times New Roman" w:cs="Arial"/>
          <w:b/>
          <w:sz w:val="18"/>
          <w:szCs w:val="18"/>
        </w:rPr>
        <w:t>REPORTED_BY2_IN</w:t>
      </w:r>
    </w:p>
    <w:p w14:paraId="58A31D4C"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Authorised by</w:t>
      </w:r>
      <w:r w:rsidRPr="00C66355">
        <w:rPr>
          <w:rFonts w:eastAsia="Times New Roman" w:cs="Arial"/>
          <w:b/>
          <w:sz w:val="18"/>
          <w:szCs w:val="18"/>
        </w:rPr>
        <w:tab/>
      </w:r>
      <w:r>
        <w:rPr>
          <w:rFonts w:eastAsia="Times New Roman" w:cs="Arial"/>
          <w:b/>
          <w:sz w:val="18"/>
          <w:szCs w:val="18"/>
        </w:rPr>
        <w:t>AUTHORISED_BY_IN</w:t>
      </w:r>
    </w:p>
    <w:p w14:paraId="360CFD93" w14:textId="39624C54" w:rsidR="00B213FD" w:rsidRPr="00C66355" w:rsidRDefault="00B213FD"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F70989">
        <w:rPr>
          <w:rFonts w:eastAsia="Times New Roman" w:cs="Arial"/>
          <w:b/>
          <w:noProof/>
          <w:sz w:val="18"/>
          <w:szCs w:val="18"/>
        </w:rPr>
        <w:t>16-Nov-2023</w:t>
      </w:r>
      <w:r w:rsidRPr="00C66355">
        <w:rPr>
          <w:rFonts w:eastAsia="Times New Roman" w:cs="Arial"/>
          <w:b/>
          <w:sz w:val="18"/>
          <w:szCs w:val="18"/>
        </w:rPr>
        <w:fldChar w:fldCharType="end"/>
      </w:r>
    </w:p>
    <w:p w14:paraId="2B68D0E9" w14:textId="77777777" w:rsidR="00B213FD" w:rsidRPr="00C66355" w:rsidRDefault="00B213FD" w:rsidP="00B213FD">
      <w:pPr>
        <w:pStyle w:val="EndNoteBibliography"/>
        <w:jc w:val="both"/>
        <w:rPr>
          <w:rFonts w:eastAsia="Times New Roman"/>
          <w:b/>
          <w:noProof w:val="0"/>
          <w:szCs w:val="18"/>
        </w:rPr>
        <w:sectPr w:rsidR="00B213FD" w:rsidRPr="00C66355" w:rsidSect="00B213FD">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6F2352AF" w14:textId="77777777" w:rsidR="00B213FD" w:rsidRDefault="00B213FD" w:rsidP="00B213FD">
      <w:pPr>
        <w:rPr>
          <w:rFonts w:cs="Arial"/>
          <w:b/>
          <w:sz w:val="6"/>
          <w:szCs w:val="22"/>
        </w:rPr>
      </w:pPr>
    </w:p>
    <w:p w14:paraId="074C0536" w14:textId="70DBFA61" w:rsidR="007406AB" w:rsidRDefault="00B213FD">
      <w:r>
        <w:rPr>
          <w:rFonts w:cs="Arial"/>
          <w:b/>
          <w:sz w:val="20"/>
          <w:szCs w:val="20"/>
        </w:rPr>
        <w:t>CLINICAL_CONTEXT_IN</w:t>
      </w:r>
    </w:p>
    <w:sectPr w:rsidR="007406AB"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677C" w14:textId="77777777" w:rsidR="00C131F5" w:rsidRDefault="00C131F5" w:rsidP="00B213FD">
      <w:r>
        <w:separator/>
      </w:r>
    </w:p>
  </w:endnote>
  <w:endnote w:type="continuationSeparator" w:id="0">
    <w:p w14:paraId="21E69FF7" w14:textId="77777777" w:rsidR="00C131F5" w:rsidRDefault="00C131F5" w:rsidP="00B2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1559B4" w:rsidRDefault="00B213F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1559B4" w:rsidRDefault="00000000" w:rsidP="00AD585B">
    <w:pPr>
      <w:pStyle w:val="Footer"/>
      <w:ind w:right="360"/>
    </w:pPr>
  </w:p>
  <w:p w14:paraId="5592459D"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1559B4" w:rsidRPr="00D4064A" w:rsidRDefault="00B213FD"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77058ECA" w14:textId="77777777" w:rsidR="001559B4" w:rsidRPr="00D4064A" w:rsidRDefault="00B213FD"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2B43D07F" w14:textId="77777777" w:rsidR="001559B4" w:rsidRPr="002A7213" w:rsidRDefault="00B213FD" w:rsidP="00717EBB">
    <w:pPr>
      <w:pStyle w:val="Footer"/>
      <w:jc w:val="right"/>
      <w:rPr>
        <w:i/>
        <w:szCs w:val="12"/>
      </w:rPr>
    </w:pPr>
    <w:r w:rsidRPr="002A7213">
      <w:rPr>
        <w:i/>
        <w:szCs w:val="12"/>
      </w:rPr>
      <w:t>MP-MH-NGS-9</w:t>
    </w:r>
    <w:r>
      <w:rPr>
        <w:i/>
        <w:szCs w:val="12"/>
      </w:rPr>
      <w:t>VB</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C57D0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1559B4" w:rsidRPr="00D4064A" w:rsidRDefault="00B213FD"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4C19465" w14:textId="77777777" w:rsidR="001559B4" w:rsidRPr="00D4064A" w:rsidRDefault="00B213FD"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66C972" w14:textId="77777777" w:rsidR="001559B4" w:rsidRPr="00717EBB" w:rsidRDefault="00B213FD" w:rsidP="00717EBB">
    <w:pPr>
      <w:pStyle w:val="Footer"/>
      <w:jc w:val="right"/>
      <w:rPr>
        <w:i/>
        <w:szCs w:val="12"/>
      </w:rPr>
    </w:pPr>
    <w:r w:rsidRPr="002A7213">
      <w:rPr>
        <w:i/>
        <w:szCs w:val="12"/>
      </w:rPr>
      <w:t>MP-MH-NGS-9</w:t>
    </w:r>
    <w:r>
      <w:rPr>
        <w:i/>
        <w:szCs w:val="12"/>
      </w:rPr>
      <w:t>VB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B5EF" w14:textId="77777777" w:rsidR="00C131F5" w:rsidRDefault="00C131F5" w:rsidP="00B213FD">
      <w:r>
        <w:separator/>
      </w:r>
    </w:p>
  </w:footnote>
  <w:footnote w:type="continuationSeparator" w:id="0">
    <w:p w14:paraId="7E60E80B" w14:textId="77777777" w:rsidR="00C131F5" w:rsidRDefault="00C131F5" w:rsidP="00B2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C57D0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77777777" w:rsidR="001559B4" w:rsidRPr="00963761" w:rsidRDefault="00B213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59"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B7F409B" wp14:editId="7BDE4C5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8102" w14:textId="77777777" w:rsidR="001559B4" w:rsidRPr="00B2330E" w:rsidRDefault="00B213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F409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1559B4" w:rsidRPr="00B2330E" w:rsidRDefault="00B213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A2414EE" wp14:editId="7543A83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2CEDC" w14:textId="77777777" w:rsidR="001559B4"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14EE"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1559B4"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4E2F610" wp14:editId="5206926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2DE8"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F610"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1559B4" w:rsidRDefault="00000000" w:rsidP="00F42F75"/>
                </w:txbxContent>
              </v:textbox>
              <w10:wrap type="tight"/>
            </v:shape>
          </w:pict>
        </mc:Fallback>
      </mc:AlternateContent>
    </w:r>
    <w:r w:rsidRPr="003F6432">
      <w:rPr>
        <w:noProof/>
      </w:rPr>
      <w:t xml:space="preserve"> </w:t>
    </w:r>
  </w:p>
  <w:p w14:paraId="062F9C4E"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C57D0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FD"/>
    <w:rsid w:val="002D6265"/>
    <w:rsid w:val="007406AB"/>
    <w:rsid w:val="00784F06"/>
    <w:rsid w:val="008F6937"/>
    <w:rsid w:val="00A43045"/>
    <w:rsid w:val="00AB2846"/>
    <w:rsid w:val="00B213FD"/>
    <w:rsid w:val="00C131F5"/>
    <w:rsid w:val="00E428C5"/>
    <w:rsid w:val="00F70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4B37"/>
  <w15:chartTrackingRefBased/>
  <w15:docId w15:val="{8D26C633-E008-4526-A37F-89B5AF7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789</Words>
  <Characters>4498</Characters>
  <Application>Microsoft Office Word</Application>
  <DocSecurity>0</DocSecurity>
  <Lines>37</Lines>
  <Paragraphs>10</Paragraphs>
  <ScaleCrop>false</ScaleCrop>
  <Company>Peter MacCallum Cancer Center</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7</cp:revision>
  <dcterms:created xsi:type="dcterms:W3CDTF">2023-10-27T07:01:00Z</dcterms:created>
  <dcterms:modified xsi:type="dcterms:W3CDTF">2023-11-15T22:18:00Z</dcterms:modified>
</cp:coreProperties>
</file>