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3A35" w14:textId="77777777" w:rsidR="00EA0096" w:rsidRPr="00160CDB" w:rsidRDefault="00EA0096" w:rsidP="00EA009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A0096" w:rsidRPr="00160CDB" w14:paraId="5E818D89" w14:textId="77777777" w:rsidTr="00172578">
        <w:trPr>
          <w:jc w:val="center"/>
        </w:trPr>
        <w:tc>
          <w:tcPr>
            <w:tcW w:w="3397" w:type="dxa"/>
            <w:shd w:val="clear" w:color="auto" w:fill="auto"/>
            <w:vAlign w:val="center"/>
          </w:tcPr>
          <w:p w14:paraId="62A3E183" w14:textId="77777777" w:rsidR="00EA0096" w:rsidRPr="00160CDB" w:rsidRDefault="00EA0096" w:rsidP="0049634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440F4BC3" w14:textId="77777777" w:rsidR="00EA0096" w:rsidRPr="00160CDB" w:rsidRDefault="00EA0096" w:rsidP="0049634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9DA4445" w14:textId="77777777" w:rsidR="00EA0096" w:rsidRPr="00160CDB" w:rsidRDefault="00EA0096" w:rsidP="0049634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579C908" w14:textId="77777777" w:rsidR="00EA0096" w:rsidRPr="00160CDB" w:rsidRDefault="00EA0096" w:rsidP="0049634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C221A11"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4EAFB5"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CB768B4"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33892D7"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C660698" w14:textId="77777777" w:rsidR="00EA0096" w:rsidRPr="003E2DC8" w:rsidRDefault="00EA0096" w:rsidP="0049634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117A972" w14:textId="77777777" w:rsidR="00EA0096" w:rsidRDefault="00EA0096" w:rsidP="0049634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3CC450B" w14:textId="77777777" w:rsidR="00EA0096" w:rsidRPr="00160CDB" w:rsidRDefault="00EA0096" w:rsidP="0049634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3292296B" w14:textId="4589A3EF" w:rsidR="00F54001" w:rsidRPr="00F54001" w:rsidRDefault="003525DA" w:rsidP="003525DA">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7B0D0FB4" w14:textId="77777777" w:rsidR="00EA0096" w:rsidRPr="00160CDB" w:rsidRDefault="00EA0096" w:rsidP="00EA009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3F2076DC" w14:textId="77777777" w:rsidR="00EA0096" w:rsidRPr="00160CDB" w:rsidRDefault="00EA0096" w:rsidP="00EA009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5B7CA32C" w14:textId="77777777" w:rsidR="00EA0096" w:rsidRPr="003A53E8" w:rsidRDefault="00EA0096" w:rsidP="00EA0096">
      <w:pPr>
        <w:tabs>
          <w:tab w:val="left" w:pos="2127"/>
          <w:tab w:val="left" w:pos="5245"/>
          <w:tab w:val="left" w:pos="9540"/>
        </w:tabs>
        <w:spacing w:before="120" w:after="120"/>
        <w:ind w:left="2127" w:right="-8" w:hanging="2127"/>
        <w:jc w:val="both"/>
        <w:rPr>
          <w:rFonts w:cs="Arial"/>
          <w:sz w:val="18"/>
          <w:szCs w:val="18"/>
        </w:rPr>
      </w:pPr>
      <w:r w:rsidRPr="003A53E8">
        <w:rPr>
          <w:rFonts w:eastAsia="Times New Roman" w:cs="Arial"/>
          <w:b/>
          <w:sz w:val="18"/>
          <w:szCs w:val="18"/>
        </w:rPr>
        <w:t>Specimen Details</w:t>
      </w:r>
      <w:r w:rsidRPr="003A53E8">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A0096" w:rsidRPr="00160CDB" w14:paraId="4BC50659" w14:textId="77777777" w:rsidTr="0049634B">
        <w:trPr>
          <w:jc w:val="center"/>
        </w:trPr>
        <w:tc>
          <w:tcPr>
            <w:tcW w:w="10191" w:type="dxa"/>
            <w:shd w:val="clear" w:color="auto" w:fill="411E75"/>
            <w:vAlign w:val="center"/>
          </w:tcPr>
          <w:p w14:paraId="578CB33D" w14:textId="2A27AB09" w:rsidR="00EA0096" w:rsidRPr="00160CDB" w:rsidRDefault="00EA0096" w:rsidP="0049634B">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UBA1 </w:t>
            </w:r>
            <w:r w:rsidRPr="00160CDB">
              <w:rPr>
                <w:rFonts w:eastAsia="Times New Roman" w:cs="Arial"/>
                <w:b/>
                <w:bCs/>
                <w:color w:val="FFFFFF" w:themeColor="background1"/>
                <w:sz w:val="28"/>
                <w:szCs w:val="32"/>
              </w:rPr>
              <w:t xml:space="preserve">VARIANT ANALYSIS REPORT </w:t>
            </w:r>
          </w:p>
        </w:tc>
      </w:tr>
    </w:tbl>
    <w:p w14:paraId="60916058" w14:textId="152C2BC6" w:rsidR="00EA0096" w:rsidRPr="00160CDB" w:rsidRDefault="00EA0096" w:rsidP="00EA009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6321EB" w:rsidRPr="006321EB">
        <w:rPr>
          <w:rFonts w:cs="Arial"/>
          <w:sz w:val="18"/>
          <w:szCs w:val="18"/>
        </w:rPr>
        <w:t xml:space="preserve">Somatic variant analysis of all coding regions of </w:t>
      </w:r>
      <w:r w:rsidR="006321EB">
        <w:rPr>
          <w:rFonts w:cs="Arial"/>
          <w:sz w:val="18"/>
          <w:szCs w:val="18"/>
        </w:rPr>
        <w:t>UBA1</w:t>
      </w:r>
      <w:r w:rsidR="006321EB" w:rsidRPr="006321E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A0096" w:rsidRPr="00160CDB" w14:paraId="2F9E4A52" w14:textId="77777777" w:rsidTr="0049634B">
        <w:trPr>
          <w:jc w:val="center"/>
        </w:trPr>
        <w:tc>
          <w:tcPr>
            <w:tcW w:w="10191" w:type="dxa"/>
            <w:tcBorders>
              <w:top w:val="nil"/>
              <w:left w:val="nil"/>
              <w:bottom w:val="nil"/>
              <w:right w:val="nil"/>
            </w:tcBorders>
            <w:shd w:val="clear" w:color="auto" w:fill="CFCCD6"/>
            <w:vAlign w:val="center"/>
          </w:tcPr>
          <w:p w14:paraId="4429EBE8" w14:textId="77777777" w:rsidR="00EA0096" w:rsidRDefault="00EA0096" w:rsidP="0049634B">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174BF841" w14:textId="77777777" w:rsidR="00EA0096" w:rsidRPr="002A3B21" w:rsidRDefault="00EA0096" w:rsidP="0049634B">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2A3B21">
              <w:rPr>
                <w:rFonts w:cs="Arial"/>
                <w:sz w:val="18"/>
                <w:szCs w:val="18"/>
              </w:rPr>
              <w:t>CLINICAL_INTERPRETATION1_IN</w:t>
            </w:r>
          </w:p>
          <w:p w14:paraId="587F8857" w14:textId="77777777" w:rsidR="00EA0096" w:rsidRPr="00160CDB" w:rsidRDefault="00EA0096" w:rsidP="0049634B">
            <w:pPr>
              <w:spacing w:before="120" w:after="120"/>
              <w:ind w:left="2018" w:right="-8" w:hanging="2023"/>
              <w:jc w:val="both"/>
              <w:rPr>
                <w:rFonts w:cs="Arial"/>
                <w:b/>
                <w:sz w:val="18"/>
                <w:szCs w:val="18"/>
              </w:rPr>
            </w:pPr>
            <w:r w:rsidRPr="002A3B21">
              <w:rPr>
                <w:rFonts w:cs="Arial"/>
                <w:b/>
                <w:sz w:val="18"/>
                <w:szCs w:val="18"/>
              </w:rPr>
              <w:tab/>
            </w:r>
            <w:r w:rsidRPr="002A3B21">
              <w:rPr>
                <w:rFonts w:cs="Arial"/>
                <w:sz w:val="18"/>
                <w:szCs w:val="18"/>
              </w:rPr>
              <w:t>CLINICAL_INTERPRETATION2_IN</w:t>
            </w:r>
          </w:p>
        </w:tc>
      </w:tr>
    </w:tbl>
    <w:p w14:paraId="66960806"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4BEBF06" w14:textId="77777777" w:rsidR="00EA0096" w:rsidRPr="00337D30" w:rsidRDefault="00EA0096" w:rsidP="00EA0096">
      <w:pPr>
        <w:tabs>
          <w:tab w:val="left" w:pos="8647"/>
          <w:tab w:val="left" w:pos="9540"/>
        </w:tabs>
        <w:spacing w:before="120" w:after="120"/>
        <w:jc w:val="both"/>
        <w:rPr>
          <w:rFonts w:eastAsia="Times New Roman" w:cs="Arial"/>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4B311C9"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24BE263C" w14:textId="77777777" w:rsidR="00EA0096" w:rsidRPr="00160CDB" w:rsidRDefault="00EA0096" w:rsidP="00EA0096">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Pr="00F33719">
        <w:rPr>
          <w:rFonts w:cs="Arial"/>
          <w:sz w:val="16"/>
          <w:szCs w:val="16"/>
        </w:rPr>
        <w:t>In addition, the clonal origin of somatic variants (i.e. disease compartment or cell lineage) cannot be determined.</w:t>
      </w:r>
      <w:r>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DCD99F3" w14:textId="77777777" w:rsidR="00EA0096" w:rsidRPr="00160CDB" w:rsidRDefault="00EA0096" w:rsidP="00EA009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397C410" w14:textId="77777777" w:rsidR="00EA0096" w:rsidRPr="00160CDB" w:rsidRDefault="00EA0096" w:rsidP="00EA009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304969EA"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0F028"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06B9E036"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3DB3B81"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2C868D12"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0DEB0C6" w14:textId="5070CB25"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321EB">
        <w:rPr>
          <w:rFonts w:eastAsia="Times New Roman" w:cs="Arial"/>
          <w:b/>
          <w:noProof/>
          <w:sz w:val="18"/>
          <w:szCs w:val="18"/>
        </w:rPr>
        <w:t>25-Oct-2023</w:t>
      </w:r>
      <w:r w:rsidRPr="00160CDB">
        <w:rPr>
          <w:rFonts w:eastAsia="Times New Roman" w:cs="Arial"/>
          <w:b/>
          <w:sz w:val="18"/>
          <w:szCs w:val="18"/>
        </w:rPr>
        <w:fldChar w:fldCharType="end"/>
      </w:r>
    </w:p>
    <w:p w14:paraId="3A306F7A" w14:textId="77777777" w:rsidR="00EA0096" w:rsidRDefault="00EA0096" w:rsidP="00EA0096">
      <w:pPr>
        <w:tabs>
          <w:tab w:val="left" w:pos="8647"/>
          <w:tab w:val="left" w:pos="9540"/>
        </w:tabs>
        <w:spacing w:before="120" w:after="120"/>
        <w:jc w:val="both"/>
        <w:rPr>
          <w:rFonts w:cs="Arial"/>
          <w:b/>
          <w:szCs w:val="6"/>
        </w:rPr>
        <w:sectPr w:rsidR="00EA0096" w:rsidSect="00EA0096">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6F316319" w14:textId="77777777" w:rsidR="00EA0096" w:rsidRPr="00AC692E" w:rsidRDefault="00EA0096" w:rsidP="00EA0096">
      <w:pPr>
        <w:rPr>
          <w:rFonts w:cs="Arial"/>
          <w:b/>
          <w:sz w:val="6"/>
          <w:szCs w:val="6"/>
        </w:rPr>
      </w:pPr>
    </w:p>
    <w:p w14:paraId="6B6FE399" w14:textId="44EFE51A" w:rsidR="00845ECC" w:rsidRPr="00EA0096" w:rsidRDefault="00EA0096" w:rsidP="00EA0096">
      <w:r>
        <w:rPr>
          <w:rFonts w:cs="Arial"/>
          <w:b/>
          <w:sz w:val="20"/>
          <w:szCs w:val="20"/>
        </w:rPr>
        <w:t>CLINICAL_CONTEXT_IN</w:t>
      </w:r>
    </w:p>
    <w:sectPr w:rsidR="00845ECC" w:rsidRPr="00EA0096"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666B9" w14:textId="77777777" w:rsidR="005330B2" w:rsidRDefault="005330B2" w:rsidP="00607735">
      <w:r>
        <w:separator/>
      </w:r>
    </w:p>
    <w:p w14:paraId="73AF7A01" w14:textId="77777777" w:rsidR="005330B2" w:rsidRDefault="005330B2"/>
  </w:endnote>
  <w:endnote w:type="continuationSeparator" w:id="0">
    <w:p w14:paraId="4B465A56" w14:textId="77777777" w:rsidR="005330B2" w:rsidRDefault="005330B2" w:rsidP="00607735">
      <w:r>
        <w:continuationSeparator/>
      </w:r>
    </w:p>
    <w:p w14:paraId="65046710" w14:textId="77777777" w:rsidR="005330B2" w:rsidRDefault="00533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67100" w14:textId="77777777" w:rsidR="00EA0096" w:rsidRDefault="00EA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365A" w14:textId="77777777" w:rsidR="00EA0096" w:rsidRPr="00D4064A" w:rsidRDefault="00EA0096" w:rsidP="00D362F6">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5327137B" w14:textId="77777777" w:rsidR="00EA0096" w:rsidRPr="00D4064A" w:rsidRDefault="00EA0096"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1D232808" w14:textId="77777777" w:rsidR="00EA0096" w:rsidRPr="00983BFD" w:rsidRDefault="00EA0096" w:rsidP="00983BFD">
    <w:pPr>
      <w:pStyle w:val="Footer"/>
      <w:jc w:val="right"/>
      <w:rPr>
        <w:i/>
        <w:szCs w:val="12"/>
      </w:rPr>
    </w:pPr>
    <w:r w:rsidRPr="007D404C">
      <w:rPr>
        <w:i/>
        <w:szCs w:val="12"/>
      </w:rPr>
      <w:t>MP-MH-NGS-9</w:t>
    </w:r>
    <w:r>
      <w:rPr>
        <w:i/>
        <w:szCs w:val="12"/>
      </w:rPr>
      <w:t>XB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E432" w14:textId="77777777" w:rsidR="00EA0096" w:rsidRDefault="00EA00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8B8D" w14:textId="77777777" w:rsidR="00CC0923" w:rsidRPr="00D4064A" w:rsidRDefault="001559B4" w:rsidP="00CC0923">
    <w:pPr>
      <w:tabs>
        <w:tab w:val="left" w:pos="7655"/>
      </w:tabs>
      <w:rPr>
        <w:rFonts w:cs="Arial"/>
        <w:i/>
        <w:noProof/>
        <w:sz w:val="18"/>
        <w:szCs w:val="18"/>
      </w:rPr>
    </w:pPr>
    <w:r>
      <w:rPr>
        <w:rFonts w:cs="Arial"/>
        <w:i/>
        <w:noProof/>
        <w:sz w:val="18"/>
        <w:szCs w:val="18"/>
      </w:rPr>
      <w:tab/>
    </w:r>
    <w:r w:rsidR="00CC0923">
      <w:rPr>
        <w:rFonts w:cs="Arial"/>
        <w:i/>
        <w:noProof/>
        <w:sz w:val="18"/>
        <w:szCs w:val="18"/>
      </w:rPr>
      <w:t xml:space="preserve">  </w:t>
    </w:r>
    <w:r w:rsidR="00CC0923" w:rsidRPr="00D362F6">
      <w:rPr>
        <w:rFonts w:cs="Arial"/>
        <w:i/>
        <w:noProof/>
        <w:sz w:val="18"/>
        <w:szCs w:val="18"/>
      </w:rPr>
      <w:t>UBA1 Variant Analysis Report</w:t>
    </w:r>
  </w:p>
  <w:p w14:paraId="2B796CF3" w14:textId="77777777" w:rsidR="00CC0923" w:rsidRPr="00D4064A" w:rsidRDefault="00CC0923" w:rsidP="00CC092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p w14:paraId="69F23267" w14:textId="37FACCF9" w:rsidR="001559B4" w:rsidRPr="00717EBB" w:rsidRDefault="00CC0923" w:rsidP="00CC0923">
    <w:pPr>
      <w:pStyle w:val="Footer"/>
      <w:jc w:val="right"/>
      <w:rPr>
        <w:i/>
        <w:szCs w:val="12"/>
      </w:rPr>
    </w:pPr>
    <w:r w:rsidRPr="002A7213">
      <w:rPr>
        <w:i/>
        <w:szCs w:val="12"/>
      </w:rPr>
      <w:t>MP-MH-NGS-9</w:t>
    </w:r>
    <w:r>
      <w:rPr>
        <w:i/>
        <w:szCs w:val="12"/>
      </w:rPr>
      <w:t>XB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7A5A" w14:textId="77777777" w:rsidR="005330B2" w:rsidRDefault="005330B2" w:rsidP="00607735">
      <w:r>
        <w:separator/>
      </w:r>
    </w:p>
    <w:p w14:paraId="4E339F05" w14:textId="77777777" w:rsidR="005330B2" w:rsidRDefault="005330B2"/>
  </w:footnote>
  <w:footnote w:type="continuationSeparator" w:id="0">
    <w:p w14:paraId="16197D54" w14:textId="77777777" w:rsidR="005330B2" w:rsidRDefault="005330B2" w:rsidP="00607735">
      <w:r>
        <w:continuationSeparator/>
      </w:r>
    </w:p>
    <w:p w14:paraId="6AE9C486" w14:textId="77777777" w:rsidR="005330B2" w:rsidRDefault="005330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2376" w14:textId="77777777" w:rsidR="00EA0096" w:rsidRDefault="00EA0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6AAB" w14:textId="77777777" w:rsidR="00EA0096" w:rsidRPr="00963761" w:rsidRDefault="00EA009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F627CE2" wp14:editId="005DE118">
          <wp:simplePos x="0" y="0"/>
          <wp:positionH relativeFrom="column">
            <wp:posOffset>-111015</wp:posOffset>
          </wp:positionH>
          <wp:positionV relativeFrom="paragraph">
            <wp:posOffset>-113720</wp:posOffset>
          </wp:positionV>
          <wp:extent cx="1605518" cy="492981"/>
          <wp:effectExtent l="0" t="0" r="0" b="2540"/>
          <wp:wrapNone/>
          <wp:docPr id="2" name="Picture 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90F3EB" wp14:editId="4FEA399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F3E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7AF4491" wp14:editId="49E6672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F4491"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7106CBC" wp14:editId="3C281DCC">
          <wp:simplePos x="0" y="0"/>
          <wp:positionH relativeFrom="column">
            <wp:posOffset>6286500</wp:posOffset>
          </wp:positionH>
          <wp:positionV relativeFrom="paragraph">
            <wp:posOffset>-81280</wp:posOffset>
          </wp:positionV>
          <wp:extent cx="342900" cy="546100"/>
          <wp:effectExtent l="0" t="0" r="1270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A0BE91C" wp14:editId="65FAB461">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06D5B" w14:textId="77777777" w:rsidR="00EA0096" w:rsidRDefault="00EA009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BE91C"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7A806D5B" w14:textId="77777777" w:rsidR="00EA0096" w:rsidRDefault="00EA0096" w:rsidP="00F42F75"/>
                </w:txbxContent>
              </v:textbox>
              <w10:wrap type="tight"/>
            </v:shape>
          </w:pict>
        </mc:Fallback>
      </mc:AlternateContent>
    </w:r>
    <w:r w:rsidRPr="003F6432">
      <w:rPr>
        <w:noProof/>
      </w:rPr>
      <w:t xml:space="preserve"> </w:t>
    </w:r>
  </w:p>
  <w:p w14:paraId="6C800DCA" w14:textId="77777777" w:rsidR="00EA0096" w:rsidRDefault="00EA00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6E05" w14:textId="77777777" w:rsidR="00EA0096" w:rsidRDefault="00EA0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589C"/>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2578"/>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525DA"/>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A52E6"/>
    <w:rsid w:val="004B6396"/>
    <w:rsid w:val="004C34B8"/>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30B2"/>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21EB"/>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A7877"/>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74A1B"/>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923"/>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28DA"/>
    <w:rsid w:val="00D8383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0096"/>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4001"/>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02B9"/>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4610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18</cp:revision>
  <cp:lastPrinted>2021-09-12T22:56:00Z</cp:lastPrinted>
  <dcterms:created xsi:type="dcterms:W3CDTF">2022-08-10T02:28:00Z</dcterms:created>
  <dcterms:modified xsi:type="dcterms:W3CDTF">2023-11-15T02:58:00Z</dcterms:modified>
</cp:coreProperties>
</file>