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 Конкретно в данной лабораторной работе мы работаем с gitflow это определённая надстройка над моделью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2"/>
        </w:numPr>
        <w:pStyle w:val="Compact"/>
      </w:pPr>
      <w:r>
        <w:t xml:space="preserve">Gitflow Workflow опубликована и популяризована Винсентом Дриссеном.</w:t>
      </w:r>
    </w:p>
    <w:p>
      <w:pPr>
        <w:numPr>
          <w:ilvl w:val="0"/>
          <w:numId w:val="1002"/>
        </w:numPr>
        <w:pStyle w:val="Compact"/>
      </w:pPr>
      <w:r>
        <w:t xml:space="preserve">Gitflow Workflow предполагает выстраивание строгой модели ветвления с учётом выпуска проекта.</w:t>
      </w:r>
    </w:p>
    <w:p>
      <w:pPr>
        <w:numPr>
          <w:ilvl w:val="0"/>
          <w:numId w:val="1002"/>
        </w:numPr>
        <w:pStyle w:val="Compact"/>
      </w:pPr>
      <w:r>
        <w:t xml:space="preserve">Данная модель отлично подходит для организации рабочего процесса на основе релизов.</w:t>
      </w:r>
    </w:p>
    <w:p>
      <w:pPr>
        <w:numPr>
          <w:ilvl w:val="0"/>
          <w:numId w:val="1002"/>
        </w:numPr>
        <w:pStyle w:val="Compact"/>
      </w:pPr>
      <w:r>
        <w:t xml:space="preserve">Работа по модели Gitflow включает создание отдельной ветки для исправлений ошибок в рабочей среде.</w:t>
      </w:r>
    </w:p>
    <w:p>
      <w:pPr>
        <w:numPr>
          <w:ilvl w:val="0"/>
          <w:numId w:val="1002"/>
        </w:numPr>
        <w:pStyle w:val="Compact"/>
      </w:pPr>
      <w:r>
        <w:t xml:space="preserve">Последовательность действий при работе по модели Gitflow:</w:t>
      </w:r>
    </w:p>
    <w:p>
      <w:pPr>
        <w:numPr>
          <w:ilvl w:val="0"/>
          <w:numId w:val="1002"/>
        </w:numPr>
        <w:pStyle w:val="Compact"/>
      </w:pPr>
      <w:r>
        <w:t xml:space="preserve">Из ветки master создаётся ветка develop.</w:t>
      </w:r>
    </w:p>
    <w:p>
      <w:pPr>
        <w:numPr>
          <w:ilvl w:val="0"/>
          <w:numId w:val="1002"/>
        </w:numPr>
        <w:pStyle w:val="Compact"/>
      </w:pPr>
      <w:r>
        <w:t xml:space="preserve">Из ветки develop создаётся ветка release.</w:t>
      </w:r>
    </w:p>
    <w:p>
      <w:pPr>
        <w:numPr>
          <w:ilvl w:val="0"/>
          <w:numId w:val="1002"/>
        </w:numPr>
        <w:pStyle w:val="Compact"/>
      </w:pPr>
      <w:r>
        <w:t xml:space="preserve">Из ветки develop создаются ветки feature.</w:t>
      </w:r>
    </w:p>
    <w:p>
      <w:pPr>
        <w:numPr>
          <w:ilvl w:val="0"/>
          <w:numId w:val="1002"/>
        </w:numPr>
        <w:pStyle w:val="Compact"/>
      </w:pPr>
      <w:r>
        <w:t xml:space="preserve">Когда работа над веткой feature завершена, она сливается с веткой develop.</w:t>
      </w:r>
    </w:p>
    <w:p>
      <w:pPr>
        <w:numPr>
          <w:ilvl w:val="0"/>
          <w:numId w:val="1002"/>
        </w:numPr>
        <w:pStyle w:val="Compact"/>
      </w:pPr>
      <w:r>
        <w:t xml:space="preserve">Когда работа над веткой релиза release завершена, она сливается в ветки develop и master.</w:t>
      </w:r>
    </w:p>
    <w:p>
      <w:pPr>
        <w:numPr>
          <w:ilvl w:val="0"/>
          <w:numId w:val="1002"/>
        </w:numPr>
        <w:pStyle w:val="Compact"/>
      </w:pPr>
      <w:r>
        <w:t xml:space="preserve">Если в master обнаружена проблема, из master создаётся ветка hotfix.</w:t>
      </w:r>
    </w:p>
    <w:p>
      <w:pPr>
        <w:numPr>
          <w:ilvl w:val="0"/>
          <w:numId w:val="1002"/>
        </w:numPr>
        <w:pStyle w:val="Compact"/>
      </w:pPr>
      <w:r>
        <w:t xml:space="preserve">Когда работа над веткой исправления hotfix завершена, она сливается в ветки develop и master.</w:t>
      </w:r>
    </w:p>
    <w:bookmarkEnd w:id="22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6" w:name="установка-git-flow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Установка из коллекции репозиториев Copr (рис. 1).</w:t>
      </w:r>
    </w:p>
    <w:p>
      <w:pPr>
        <w:pStyle w:val="CaptionedFigure"/>
      </w:pPr>
      <w:r>
        <w:drawing>
          <wp:inline>
            <wp:extent cx="3733800" cy="1382672"/>
            <wp:effectExtent b="0" l="0" r="0" t="0"/>
            <wp:docPr descr="Установка git-flow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git-flow</w:t>
      </w:r>
    </w:p>
    <w:bookmarkEnd w:id="26"/>
    <w:bookmarkStart w:id="33" w:name="установка-node.j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На Node.js базируется программное обеспечение для семантического версионирования и общепринятых коммитов.(рис. 2).</w:t>
      </w:r>
    </w:p>
    <w:p>
      <w:pPr>
        <w:pStyle w:val="CaptionedFigure"/>
      </w:pPr>
      <w:r>
        <w:drawing>
          <wp:inline>
            <wp:extent cx="3733800" cy="493965"/>
            <wp:effectExtent b="0" l="0" r="0" t="0"/>
            <wp:docPr descr="Установка Node.js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Node.js</w:t>
      </w:r>
    </w:p>
    <w:p>
      <w:pPr>
        <w:pStyle w:val="BodyText"/>
      </w:pPr>
      <w:r>
        <w:t xml:space="preserve">Выполняю команды (рис. 3).</w:t>
      </w:r>
    </w:p>
    <w:p>
      <w:pPr>
        <w:pStyle w:val="CaptionedFigure"/>
      </w:pPr>
      <w:r>
        <w:drawing>
          <wp:inline>
            <wp:extent cx="3733800" cy="201661"/>
            <wp:effectExtent b="0" l="0" r="0" t="0"/>
            <wp:docPr descr="Установка Node.js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Node.js</w:t>
      </w:r>
    </w:p>
    <w:bookmarkEnd w:id="33"/>
    <w:bookmarkStart w:id="40" w:name="настройка-node.j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Для работы с Node.js добавляю каталог с исполняемыми файлами, устанавливаемыми yarn, в переменную PATH.Запускаю установку (рис. 4).</w:t>
      </w:r>
    </w:p>
    <w:p>
      <w:pPr>
        <w:pStyle w:val="CaptionedFigure"/>
      </w:pPr>
      <w:r>
        <w:drawing>
          <wp:inline>
            <wp:extent cx="3733800" cy="1749128"/>
            <wp:effectExtent b="0" l="0" r="0" t="0"/>
            <wp:docPr descr="Настройка Node.js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9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Node.js</w:t>
      </w:r>
    </w:p>
    <w:p>
      <w:pPr>
        <w:pStyle w:val="BodyText"/>
      </w:pPr>
      <w:r>
        <w:t xml:space="preserve">Выполняю команду source ~/.bashrc (рис. 5).</w:t>
      </w:r>
    </w:p>
    <w:p>
      <w:pPr>
        <w:pStyle w:val="CaptionedFigure"/>
      </w:pPr>
      <w:r>
        <w:drawing>
          <wp:inline>
            <wp:extent cx="3733800" cy="194050"/>
            <wp:effectExtent b="0" l="0" r="0" t="0"/>
            <wp:docPr descr="Настройка Node.js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Node.js</w:t>
      </w:r>
    </w:p>
    <w:bookmarkEnd w:id="40"/>
    <w:bookmarkStart w:id="104" w:name="общепринятые-коммит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Общепринятые коммиты</w:t>
      </w:r>
    </w:p>
    <w:p>
      <w:pPr>
        <w:pStyle w:val="FirstParagraph"/>
      </w:pPr>
      <w:r>
        <w:t xml:space="preserve">Устанавливаю commitizen.Данная программа используется для помощи в форматировании коммитов.(скрипт git cz)(рис. 6).</w:t>
      </w:r>
    </w:p>
    <w:p>
      <w:pPr>
        <w:pStyle w:val="CaptionedFigure"/>
      </w:pPr>
      <w:r>
        <w:drawing>
          <wp:inline>
            <wp:extent cx="3733800" cy="603825"/>
            <wp:effectExtent b="0" l="0" r="0" t="0"/>
            <wp:docPr descr="Установка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программы</w:t>
      </w:r>
    </w:p>
    <w:p>
      <w:pPr>
        <w:pStyle w:val="BodyText"/>
      </w:pPr>
      <w:r>
        <w:t xml:space="preserve">Устqанавливаю standard-changelog. Данная программа используется для помощи в создании логов.(рис. 7).</w:t>
      </w:r>
    </w:p>
    <w:p>
      <w:pPr>
        <w:pStyle w:val="CaptionedFigure"/>
      </w:pPr>
      <w:r>
        <w:drawing>
          <wp:inline>
            <wp:extent cx="3733800" cy="895180"/>
            <wp:effectExtent b="0" l="0" r="0" t="0"/>
            <wp:docPr descr="Установка программ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5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программы</w:t>
      </w:r>
    </w:p>
    <w:p>
      <w:pPr>
        <w:pStyle w:val="BodyText"/>
      </w:pPr>
      <w:r>
        <w:t xml:space="preserve">Создаю новый git репозиторий (рис. 8).</w:t>
      </w:r>
    </w:p>
    <w:p>
      <w:pPr>
        <w:pStyle w:val="CaptionedFigure"/>
      </w:pPr>
      <w:r>
        <w:drawing>
          <wp:inline>
            <wp:extent cx="3733800" cy="2202358"/>
            <wp:effectExtent b="0" l="0" r="0" t="0"/>
            <wp:docPr descr="Создание репозитория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репозитория</w:t>
      </w:r>
    </w:p>
    <w:p>
      <w:pPr>
        <w:pStyle w:val="BodyText"/>
      </w:pPr>
      <w:r>
        <w:t xml:space="preserve">Клонирую репощиторий к себе на компьютер делаею первый коммит и выкладываю на github (рис. 9).</w:t>
      </w:r>
    </w:p>
    <w:p>
      <w:pPr>
        <w:pStyle w:val="CaptionedFigure"/>
      </w:pPr>
      <w:r>
        <w:drawing>
          <wp:inline>
            <wp:extent cx="3733800" cy="2024419"/>
            <wp:effectExtent b="0" l="0" r="0" t="0"/>
            <wp:docPr descr="Создание репозитория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4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репозитория</w:t>
      </w:r>
    </w:p>
    <w:p>
      <w:pPr>
        <w:pStyle w:val="BodyText"/>
      </w:pPr>
      <w:r>
        <w:t xml:space="preserve">Конфигурация для пакетов Node.js (рис. 10).</w:t>
      </w:r>
    </w:p>
    <w:p>
      <w:pPr>
        <w:pStyle w:val="CaptionedFigure"/>
      </w:pPr>
      <w:r>
        <w:drawing>
          <wp:inline>
            <wp:extent cx="3733800" cy="1678932"/>
            <wp:effectExtent b="0" l="0" r="0" t="0"/>
            <wp:docPr descr="Конфигурация общепринятых коммитов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Конфигурация общепринятых коммитов</w:t>
      </w:r>
    </w:p>
    <w:p>
      <w:pPr>
        <w:pStyle w:val="BodyText"/>
      </w:pPr>
      <w:r>
        <w:t xml:space="preserve">Изменяю файл package.json (рис. 11).</w:t>
      </w:r>
    </w:p>
    <w:p>
      <w:pPr>
        <w:pStyle w:val="CaptionedFigure"/>
      </w:pPr>
      <w:r>
        <w:drawing>
          <wp:inline>
            <wp:extent cx="3733800" cy="1280576"/>
            <wp:effectExtent b="0" l="0" r="0" t="0"/>
            <wp:docPr descr="Изменяю файл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Изменяю файл</w:t>
      </w:r>
    </w:p>
    <w:p>
      <w:pPr>
        <w:pStyle w:val="BodyText"/>
      </w:pPr>
      <w:r>
        <w:t xml:space="preserve">Добавляю новые файлы выполняю коммит и отправляю на github (рис. 12).</w:t>
      </w:r>
    </w:p>
    <w:p>
      <w:pPr>
        <w:pStyle w:val="CaptionedFigure"/>
      </w:pPr>
      <w:r>
        <w:drawing>
          <wp:inline>
            <wp:extent cx="3733800" cy="2187773"/>
            <wp:effectExtent b="0" l="0" r="0" t="0"/>
            <wp:docPr descr="Отправка на github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Отправка на github</w:t>
      </w:r>
    </w:p>
    <w:p>
      <w:pPr>
        <w:pStyle w:val="BodyText"/>
      </w:pPr>
      <w:r>
        <w:t xml:space="preserve">Инициализируем git-flow (рис. 13).</w:t>
      </w:r>
    </w:p>
    <w:p>
      <w:pPr>
        <w:pStyle w:val="CaptionedFigure"/>
      </w:pPr>
      <w:r>
        <w:drawing>
          <wp:inline>
            <wp:extent cx="3733800" cy="1413531"/>
            <wp:effectExtent b="0" l="0" r="0" t="0"/>
            <wp:docPr descr="Инициализац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Инициализация</w:t>
      </w:r>
    </w:p>
    <w:p>
      <w:pPr>
        <w:pStyle w:val="BodyText"/>
      </w:pPr>
      <w:r>
        <w:t xml:space="preserve">Проверяю ветку и загружаю репощиторий в хранилище (рис. 14).</w:t>
      </w:r>
    </w:p>
    <w:p>
      <w:pPr>
        <w:pStyle w:val="CaptionedFigure"/>
      </w:pPr>
      <w:r>
        <w:drawing>
          <wp:inline>
            <wp:extent cx="3733800" cy="1230192"/>
            <wp:effectExtent b="0" l="0" r="0" t="0"/>
            <wp:docPr descr="Загрузка репозитория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Загрузка репозитория</w:t>
      </w:r>
    </w:p>
    <w:p>
      <w:pPr>
        <w:pStyle w:val="BodyText"/>
      </w:pPr>
      <w:r>
        <w:t xml:space="preserve">Установливаю внешнюю ветку как вышестоящую для этой ветки. Создадаю релиз с версией 1.0.0. Создадаю журнал изменений. Добавляю журнал изменений в индекс (рис. 15).</w:t>
      </w:r>
    </w:p>
    <w:p>
      <w:pPr>
        <w:pStyle w:val="CaptionedFigure"/>
      </w:pPr>
      <w:r>
        <w:drawing>
          <wp:inline>
            <wp:extent cx="3733800" cy="2194057"/>
            <wp:effectExtent b="0" l="0" r="0" t="0"/>
            <wp:docPr descr="Установка внешней ветки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внешней ветки</w:t>
      </w:r>
    </w:p>
    <w:p>
      <w:pPr>
        <w:pStyle w:val="BodyText"/>
      </w:pPr>
      <w:r>
        <w:t xml:space="preserve">Заливаю релизную ветку в основную (рис. 16).</w:t>
      </w:r>
    </w:p>
    <w:p>
      <w:pPr>
        <w:pStyle w:val="CaptionedFigure"/>
      </w:pPr>
      <w:r>
        <w:drawing>
          <wp:inline>
            <wp:extent cx="3733800" cy="160675"/>
            <wp:effectExtent b="0" l="0" r="0" t="0"/>
            <wp:docPr descr="Сливаю ветки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Сливаю ветки</w:t>
      </w:r>
    </w:p>
    <w:p>
      <w:pPr>
        <w:pStyle w:val="BodyText"/>
      </w:pPr>
      <w:r>
        <w:t xml:space="preserve">Обозначаю цель изменений (рис. 17).</w:t>
      </w:r>
    </w:p>
    <w:p>
      <w:pPr>
        <w:pStyle w:val="CaptionedFigure"/>
      </w:pPr>
      <w:r>
        <w:drawing>
          <wp:inline>
            <wp:extent cx="3733800" cy="1459609"/>
            <wp:effectExtent b="0" l="0" r="0" t="0"/>
            <wp:docPr descr="Комментарии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9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Комментарии</w:t>
      </w:r>
    </w:p>
    <w:p>
      <w:pPr>
        <w:pStyle w:val="BodyText"/>
      </w:pPr>
      <w:r>
        <w:t xml:space="preserve">Вижу сообщение об успешном завершении процесса (рис. 18).</w:t>
      </w:r>
    </w:p>
    <w:p>
      <w:pPr>
        <w:pStyle w:val="CaptionedFigure"/>
      </w:pPr>
      <w:r>
        <w:drawing>
          <wp:inline>
            <wp:extent cx="3733800" cy="3062641"/>
            <wp:effectExtent b="0" l="0" r="0" t="0"/>
            <wp:docPr descr="Завершение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2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Завершение</w:t>
      </w:r>
    </w:p>
    <w:p>
      <w:pPr>
        <w:pStyle w:val="BodyText"/>
      </w:pPr>
      <w:r>
        <w:t xml:space="preserve">Отправляю данные на github и создаю релиз (рис. 19).</w:t>
      </w:r>
    </w:p>
    <w:p>
      <w:pPr>
        <w:pStyle w:val="CaptionedFigure"/>
      </w:pPr>
      <w:r>
        <w:drawing>
          <wp:inline>
            <wp:extent cx="3733800" cy="1904821"/>
            <wp:effectExtent b="0" l="0" r="0" t="0"/>
            <wp:docPr descr="Отправка файлов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Отправка файлов</w:t>
      </w:r>
    </w:p>
    <w:p>
      <w:pPr>
        <w:pStyle w:val="BodyText"/>
      </w:pPr>
      <w:r>
        <w:t xml:space="preserve">Проверяю созданный релиз вводя полученную ссылку в адресную строку (рис. 20).</w:t>
      </w:r>
    </w:p>
    <w:p>
      <w:pPr>
        <w:pStyle w:val="CaptionedFigure"/>
      </w:pPr>
      <w:r>
        <w:drawing>
          <wp:inline>
            <wp:extent cx="3733800" cy="2680751"/>
            <wp:effectExtent b="0" l="0" r="0" t="0"/>
            <wp:docPr descr="Готовый релиз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Готовый релиз</w:t>
      </w:r>
    </w:p>
    <w:p>
      <w:pPr>
        <w:pStyle w:val="BodyText"/>
      </w:pPr>
      <w:r>
        <w:t xml:space="preserve">Создадю ветку для новой функциональности и сразу же объелиняю её с веткой разработки (рис. 21).</w:t>
      </w:r>
    </w:p>
    <w:p>
      <w:pPr>
        <w:pStyle w:val="CaptionedFigure"/>
      </w:pPr>
      <w:r>
        <w:drawing>
          <wp:inline>
            <wp:extent cx="3733800" cy="2183666"/>
            <wp:effectExtent b="0" l="0" r="0" t="0"/>
            <wp:docPr descr="Новая ветка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3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Новая ветка</w:t>
      </w:r>
    </w:p>
    <w:p>
      <w:pPr>
        <w:pStyle w:val="BodyText"/>
      </w:pPr>
      <w:r>
        <w:t xml:space="preserve">Создаю релиз с версией 1.2.3 (рис. 22).</w:t>
      </w:r>
    </w:p>
    <w:p>
      <w:pPr>
        <w:pStyle w:val="CaptionedFigure"/>
      </w:pPr>
      <w:r>
        <w:drawing>
          <wp:inline>
            <wp:extent cx="3733800" cy="1637005"/>
            <wp:effectExtent b="0" l="0" r="0" t="0"/>
            <wp:docPr descr="Новый релиз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Новый релиз</w:t>
      </w:r>
    </w:p>
    <w:p>
      <w:pPr>
        <w:pStyle w:val="BodyText"/>
      </w:pPr>
      <w:r>
        <w:t xml:space="preserve">Изменяю номер версии в файле package.json. (рис. 23).</w:t>
      </w:r>
    </w:p>
    <w:p>
      <w:pPr>
        <w:pStyle w:val="CaptionedFigure"/>
      </w:pPr>
      <w:r>
        <w:drawing>
          <wp:inline>
            <wp:extent cx="3733800" cy="2117764"/>
            <wp:effectExtent b="0" l="0" r="0" t="0"/>
            <wp:docPr descr="Новый номер релиза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Новый номер релиза</w:t>
      </w:r>
    </w:p>
    <w:p>
      <w:pPr>
        <w:pStyle w:val="BodyText"/>
      </w:pPr>
      <w:r>
        <w:t xml:space="preserve">Создадаю журнал изменений. Добавляю журнал изменений в индекс.Отправляю данные (рис. 24).</w:t>
      </w:r>
    </w:p>
    <w:p>
      <w:pPr>
        <w:pStyle w:val="CaptionedFigure"/>
      </w:pPr>
      <w:r>
        <w:drawing>
          <wp:inline>
            <wp:extent cx="3733800" cy="4199704"/>
            <wp:effectExtent b="0" l="0" r="0" t="0"/>
            <wp:docPr descr="Новый номер релиза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Новый номер релиза</w:t>
      </w:r>
    </w:p>
    <w:p>
      <w:pPr>
        <w:pStyle w:val="BodyText"/>
      </w:pPr>
      <w:r>
        <w:t xml:space="preserve">Отправляю данные на github. Создаю релиз на github с комментарием из журнала изменений (рис. 25).</w:t>
      </w:r>
    </w:p>
    <w:p>
      <w:pPr>
        <w:pStyle w:val="CaptionedFigure"/>
      </w:pPr>
      <w:r>
        <w:drawing>
          <wp:inline>
            <wp:extent cx="3733800" cy="1031462"/>
            <wp:effectExtent b="0" l="0" r="0" t="0"/>
            <wp:docPr descr="Новый номер релиза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1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Новый номер релиза</w:t>
      </w:r>
    </w:p>
    <w:p>
      <w:pPr>
        <w:pStyle w:val="BodyText"/>
      </w:pPr>
      <w:r>
        <w:t xml:space="preserve">Проверяю созданный релиз вводя полученную ссылку в адресную строку (рис. 26).</w:t>
      </w:r>
    </w:p>
    <w:p>
      <w:pPr>
        <w:pStyle w:val="CaptionedFigure"/>
      </w:pPr>
      <w:r>
        <w:drawing>
          <wp:inline>
            <wp:extent cx="3733800" cy="2243197"/>
            <wp:effectExtent b="0" l="0" r="0" t="0"/>
            <wp:docPr descr="Готовый релиз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Готовый релиз</w:t>
      </w:r>
    </w:p>
    <w:bookmarkEnd w:id="104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Получила практические навыки работы с репозиториями git</w:t>
      </w:r>
    </w:p>
    <w:bookmarkEnd w:id="106"/>
    <w:bookmarkStart w:id="10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Dash, P. Getting Started with Oracle VM VirtualBox / P. Dash. – Packt Publishing Ltd, 2013. – 86 сс.</w:t>
      </w:r>
    </w:p>
    <w:p>
      <w:pPr>
        <w:numPr>
          <w:ilvl w:val="0"/>
          <w:numId w:val="1003"/>
        </w:numPr>
        <w:pStyle w:val="Compact"/>
      </w:pPr>
      <w:r>
        <w:t xml:space="preserve">Colvin, H. VirtualBox: An Ultimate Guide Book on Virtualization with VirtualBox. VirtualBox / H. Colvin. – CreateSpace Independent Publishing Platform, 2015. – 70 сс.</w:t>
      </w:r>
    </w:p>
    <w:p>
      <w:pPr>
        <w:numPr>
          <w:ilvl w:val="0"/>
          <w:numId w:val="1003"/>
        </w:numPr>
        <w:pStyle w:val="Compact"/>
      </w:pPr>
      <w:r>
        <w:t xml:space="preserve">Vugt, S. van. Red Hat RHCSA/RHCE 7 cert guide : Red Hat Enterprise Linux 7 (EX200 and EX300) : Certification Guide. Red Hat RHCSA/RHCE 7 cert guide / S. van Vugt. – Pearson IT Certification, 2016. – 1008 сс.</w:t>
      </w:r>
    </w:p>
    <w:p>
      <w:pPr>
        <w:numPr>
          <w:ilvl w:val="0"/>
          <w:numId w:val="1003"/>
        </w:numPr>
        <w:pStyle w:val="Compact"/>
      </w:pPr>
      <w:r>
        <w:t xml:space="preserve">Робачевский, А. Операционная система UNIX / А. Робачевский, С. Немнюгин, О. Стесик. – 2-е изд. – Санкт-Петербург : БХВ-Петербург, 2010. – 656 сс.</w:t>
      </w:r>
    </w:p>
    <w:p>
      <w:pPr>
        <w:numPr>
          <w:ilvl w:val="0"/>
          <w:numId w:val="1003"/>
        </w:numPr>
        <w:pStyle w:val="Compact"/>
      </w:pPr>
      <w:r>
        <w:t xml:space="preserve">Немет, Э. Unix и Linux: руководство системного администратора. Unix и Linux / Э. Немет, Г. Снайдер, Т.Р. Хейн, Б. Уэйли. – 4-е изд. – Вильямс, 2014. – 1312 сс.</w:t>
      </w:r>
    </w:p>
    <w:p>
      <w:pPr>
        <w:numPr>
          <w:ilvl w:val="0"/>
          <w:numId w:val="1003"/>
        </w:numPr>
        <w:pStyle w:val="Compact"/>
      </w:pPr>
      <w:r>
        <w:t xml:space="preserve">Колисниченко, Д.Н. Самоучитель системного администратора Linux : Системный администратор / Д.Н. Колисниченко. – Санкт-Петербург : БХВ-Петербург, 2011. – 544 сс.</w:t>
      </w:r>
    </w:p>
    <w:p>
      <w:pPr>
        <w:numPr>
          <w:ilvl w:val="0"/>
          <w:numId w:val="1003"/>
        </w:numPr>
        <w:pStyle w:val="Compact"/>
      </w:pPr>
      <w:r>
        <w:t xml:space="preserve">Robbins, A. Bash Pocket Reference / A. Robbins. – O’Reilly Media, 2016. – 156 сс.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Симонова Виктория Игоревна</dc:creator>
  <dc:language>ru-RU</dc:language>
  <cp:keywords/>
  <dcterms:created xsi:type="dcterms:W3CDTF">2024-03-09T16:01:44Z</dcterms:created>
  <dcterms:modified xsi:type="dcterms:W3CDTF">2024-03-09T16:01:44Z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/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