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Настройка рабочей среды. Создание репозитория и преобретение навыков для работы с менеджером паролей.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Настроить менеджер паролей</w:t>
      </w:r>
    </w:p>
    <w:p>
      <w:pPr>
        <w:numPr>
          <w:ilvl w:val="0"/>
          <w:numId w:val="1001"/>
        </w:numPr>
        <w:pStyle w:val="Compact"/>
      </w:pPr>
      <w:r>
        <w:t xml:space="preserve">Установить дополнительное ПО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Менеджер паролей pass</w:t>
      </w:r>
    </w:p>
    <w:p>
      <w:pPr>
        <w:numPr>
          <w:ilvl w:val="0"/>
          <w:numId w:val="1003"/>
        </w:numPr>
        <w:pStyle w:val="Compact"/>
      </w:pPr>
      <w:r>
        <w:t xml:space="preserve">Менеджер паролей pass — программа, сделанная в рамках идеологии Unix.</w:t>
      </w:r>
    </w:p>
    <w:p>
      <w:pPr>
        <w:numPr>
          <w:ilvl w:val="0"/>
          <w:numId w:val="1003"/>
        </w:numPr>
        <w:pStyle w:val="Compact"/>
      </w:pPr>
      <w:r>
        <w:t xml:space="preserve">Также носит название стандартного менеджера паролей для Unix (The standard Unix password manager).</w:t>
      </w:r>
    </w:p>
    <w:p>
      <w:pPr>
        <w:numPr>
          <w:ilvl w:val="0"/>
          <w:numId w:val="1004"/>
        </w:numPr>
        <w:pStyle w:val="Compact"/>
      </w:pPr>
      <w:r>
        <w:t xml:space="preserve">Основные свойства</w:t>
      </w:r>
    </w:p>
    <w:p>
      <w:pPr>
        <w:numPr>
          <w:ilvl w:val="0"/>
          <w:numId w:val="1005"/>
        </w:numPr>
        <w:pStyle w:val="Compact"/>
      </w:pPr>
      <w:r>
        <w:t xml:space="preserve">Данные хранятся в файловой системе в виде каталогов и файлов.</w:t>
      </w:r>
    </w:p>
    <w:p>
      <w:pPr>
        <w:numPr>
          <w:ilvl w:val="0"/>
          <w:numId w:val="1005"/>
        </w:numPr>
        <w:pStyle w:val="Compact"/>
      </w:pPr>
      <w:r>
        <w:t xml:space="preserve">Файлы шифруются с помощью GPG-ключа.</w:t>
      </w:r>
    </w:p>
    <w:p>
      <w:pPr>
        <w:numPr>
          <w:ilvl w:val="0"/>
          <w:numId w:val="1006"/>
        </w:numPr>
        <w:pStyle w:val="Compact"/>
      </w:pPr>
      <w:r>
        <w:t xml:space="preserve">Структура базы паролей</w:t>
      </w:r>
    </w:p>
    <w:p>
      <w:pPr>
        <w:numPr>
          <w:ilvl w:val="0"/>
          <w:numId w:val="1007"/>
        </w:numPr>
        <w:pStyle w:val="Compact"/>
      </w:pP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</w:p>
    <w:p>
      <w:pPr>
        <w:numPr>
          <w:ilvl w:val="0"/>
          <w:numId w:val="1007"/>
        </w:numPr>
        <w:pStyle w:val="Compact"/>
      </w:pP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p>
      <w:pPr>
        <w:numPr>
          <w:ilvl w:val="0"/>
          <w:numId w:val="1008"/>
        </w:numPr>
        <w:pStyle w:val="Compact"/>
      </w:pPr>
      <w:r>
        <w:t xml:space="preserve">Семантическая структура базы паролей</w:t>
      </w:r>
    </w:p>
    <w:p>
      <w:pPr>
        <w:numPr>
          <w:ilvl w:val="0"/>
          <w:numId w:val="1009"/>
        </w:numPr>
        <w:pStyle w:val="Compact"/>
      </w:pPr>
      <w:r>
        <w:t xml:space="preserve">Рассмотрим пользователя user в домене example.com, порт 22.</w:t>
      </w:r>
    </w:p>
    <w:p>
      <w:pPr>
        <w:numPr>
          <w:ilvl w:val="0"/>
          <w:numId w:val="1009"/>
        </w:numPr>
        <w:pStyle w:val="Compact"/>
      </w:pPr>
      <w:r>
        <w:t xml:space="preserve">Отсутствие имени пользователя или порта в имени файла означает, что любое имя пользователя и порт будут совпадать:</w:t>
      </w:r>
    </w:p>
    <w:p>
      <w:pPr>
        <w:numPr>
          <w:ilvl w:val="0"/>
          <w:numId w:val="1009"/>
        </w:numPr>
        <w:pStyle w:val="Compact"/>
      </w:pPr>
      <w:r>
        <w:t xml:space="preserve">example.com.pgp</w:t>
      </w:r>
    </w:p>
    <w:p>
      <w:pPr>
        <w:numPr>
          <w:ilvl w:val="0"/>
          <w:numId w:val="1009"/>
        </w:numPr>
        <w:pStyle w:val="Compact"/>
      </w:pPr>
      <w:r>
        <w:t xml:space="preserve">Соответствующее имя пользователя может быть именем файла внутри каталога, имя которого совпадает с хостом. Это полезно, если в базе есть пароли для нескольких пользователей на одном хосте:</w:t>
      </w:r>
    </w:p>
    <w:p>
      <w:pPr>
        <w:numPr>
          <w:ilvl w:val="0"/>
          <w:numId w:val="1009"/>
        </w:numPr>
        <w:pStyle w:val="Compact"/>
      </w:pPr>
      <w:r>
        <w:t xml:space="preserve">example.com/user.pgp</w:t>
      </w:r>
    </w:p>
    <w:p>
      <w:pPr>
        <w:numPr>
          <w:ilvl w:val="0"/>
          <w:numId w:val="1009"/>
        </w:numPr>
        <w:pStyle w:val="Compact"/>
      </w:pPr>
      <w:r>
        <w:t xml:space="preserve">Имя пользователя также может быть записано в виде префикса, отделенного от хоста знаком @:</w:t>
      </w:r>
    </w:p>
    <w:p>
      <w:pPr>
        <w:numPr>
          <w:ilvl w:val="0"/>
          <w:numId w:val="1009"/>
        </w:numPr>
        <w:pStyle w:val="Compact"/>
      </w:pPr>
      <w:r>
        <w:t xml:space="preserve">user@example.com.pgp</w:t>
      </w:r>
    </w:p>
    <w:p>
      <w:pPr>
        <w:numPr>
          <w:ilvl w:val="0"/>
          <w:numId w:val="1009"/>
        </w:numPr>
        <w:pStyle w:val="Compact"/>
      </w:pPr>
      <w:r>
        <w:t xml:space="preserve">Соответствующий порт может быть указан после хоста, отделённый двоеточием (:):</w:t>
      </w:r>
    </w:p>
    <w:p>
      <w:pPr>
        <w:numPr>
          <w:ilvl w:val="0"/>
          <w:numId w:val="1009"/>
        </w:numPr>
        <w:pStyle w:val="Compact"/>
      </w:pPr>
      <w:r>
        <w:t xml:space="preserve">example.com:22.pgp</w:t>
      </w:r>
    </w:p>
    <w:p>
      <w:pPr>
        <w:numPr>
          <w:ilvl w:val="0"/>
          <w:numId w:val="1009"/>
        </w:numPr>
        <w:pStyle w:val="Compact"/>
      </w:pPr>
      <w:r>
        <w:t xml:space="preserve">example.com:22/user.pgp</w:t>
      </w:r>
    </w:p>
    <w:p>
      <w:pPr>
        <w:numPr>
          <w:ilvl w:val="0"/>
          <w:numId w:val="1009"/>
        </w:numPr>
        <w:pStyle w:val="Compact"/>
      </w:pPr>
      <w:r>
        <w:t xml:space="preserve">user@example.com:22.pgp</w:t>
      </w:r>
    </w:p>
    <w:p>
      <w:pPr>
        <w:numPr>
          <w:ilvl w:val="0"/>
          <w:numId w:val="1009"/>
        </w:numPr>
        <w:pStyle w:val="Compact"/>
      </w:pPr>
      <w:r>
        <w:t xml:space="preserve">Эти все записи могут быть расположены в произвольных каталогах, задающих Вашу собственную иерархию.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менеджер паролей pass (рис. 1).</w:t>
      </w:r>
    </w:p>
    <w:p>
      <w:pPr>
        <w:pStyle w:val="CaptionedFigure"/>
      </w:pPr>
      <w:r>
        <w:drawing>
          <wp:inline>
            <wp:extent cx="3733800" cy="1035546"/>
            <wp:effectExtent b="0" l="0" r="0" t="0"/>
            <wp:docPr descr="Установка pas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p>
      <w:pPr>
        <w:pStyle w:val="BodyText"/>
      </w:pPr>
      <w:r>
        <w:t xml:space="preserve">Устанавливаю gopass (рис. 2).</w:t>
      </w:r>
    </w:p>
    <w:p>
      <w:pPr>
        <w:pStyle w:val="CaptionedFigure"/>
      </w:pPr>
      <w:r>
        <w:drawing>
          <wp:inline>
            <wp:extent cx="3733800" cy="921781"/>
            <wp:effectExtent b="0" l="0" r="0" t="0"/>
            <wp:docPr descr="Установка gopas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Просмотр списка ключей. Инициализация хранилища. Создание структуры git (рис. 3).</w:t>
      </w:r>
    </w:p>
    <w:p>
      <w:pPr>
        <w:pStyle w:val="CaptionedFigure"/>
      </w:pPr>
      <w:r>
        <w:drawing>
          <wp:inline>
            <wp:extent cx="3733800" cy="1931074"/>
            <wp:effectExtent b="0" l="0" r="0" t="0"/>
            <wp:docPr descr="Список.Инициализация. Создание структур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Список.Инициализация. Создание структуры</w:t>
      </w:r>
    </w:p>
    <w:p>
      <w:pPr>
        <w:pStyle w:val="BodyText"/>
      </w:pPr>
      <w:r>
        <w:t xml:space="preserve">Задаю адрес репозитория на хостинге, предварительно создав его (рис. 4).</w:t>
      </w:r>
    </w:p>
    <w:p>
      <w:pPr>
        <w:pStyle w:val="CaptionedFigure"/>
      </w:pPr>
      <w:r>
        <w:drawing>
          <wp:inline>
            <wp:extent cx="3733800" cy="323790"/>
            <wp:effectExtent b="0" l="0" r="0" t="0"/>
            <wp:docPr descr="Новый репозиторий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Новый репозиторий</w:t>
      </w:r>
    </w:p>
    <w:p>
      <w:pPr>
        <w:pStyle w:val="BodyText"/>
      </w:pPr>
      <w:r>
        <w:t xml:space="preserve">Инициализирую удалённый репозиторий и синхронизирую его с локальным, создавая новую ветку master (рис. 5).</w:t>
      </w:r>
    </w:p>
    <w:p>
      <w:pPr>
        <w:pStyle w:val="CaptionedFigure"/>
      </w:pPr>
      <w:r>
        <w:drawing>
          <wp:inline>
            <wp:extent cx="3733800" cy="3103721"/>
            <wp:effectExtent b="0" l="0" r="0" t="0"/>
            <wp:docPr descr="Новый репозиторий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Новый репозиторий</w:t>
      </w:r>
    </w:p>
    <w:p>
      <w:pPr>
        <w:pStyle w:val="BodyText"/>
      </w:pPr>
      <w:r>
        <w:t xml:space="preserve">Проверяю, что изменения успешно пренеслись в удалённый репозиторий (рис. 6).</w:t>
      </w:r>
    </w:p>
    <w:p>
      <w:pPr>
        <w:pStyle w:val="CaptionedFigure"/>
      </w:pPr>
      <w:r>
        <w:drawing>
          <wp:inline>
            <wp:extent cx="3733800" cy="2219860"/>
            <wp:effectExtent b="0" l="0" r="0" t="0"/>
            <wp:docPr descr="Измен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Измения</w:t>
      </w:r>
    </w:p>
    <w:p>
      <w:pPr>
        <w:pStyle w:val="BodyText"/>
      </w:pPr>
      <w:r>
        <w:t xml:space="preserve">Проверяю статус синхронизации (рис. 7).</w:t>
      </w:r>
    </w:p>
    <w:p>
      <w:pPr>
        <w:pStyle w:val="CaptionedFigure"/>
      </w:pPr>
      <w:r>
        <w:drawing>
          <wp:inline>
            <wp:extent cx="3733800" cy="822886"/>
            <wp:effectExtent b="0" l="0" r="0" t="0"/>
            <wp:docPr descr="Синхронизаци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Синхронизация</w:t>
      </w:r>
    </w:p>
    <w:p>
      <w:pPr>
        <w:pStyle w:val="BodyText"/>
      </w:pPr>
      <w:r>
        <w:t xml:space="preserve">Устанавливаю программу, обеспечивающую интерфейс native messaging. (рис. 8).</w:t>
      </w:r>
    </w:p>
    <w:p>
      <w:pPr>
        <w:pStyle w:val="CaptionedFigure"/>
      </w:pPr>
      <w:r>
        <w:drawing>
          <wp:inline>
            <wp:extent cx="3733800" cy="1837729"/>
            <wp:effectExtent b="0" l="0" r="0" t="0"/>
            <wp:docPr descr="Установк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</w:t>
      </w:r>
    </w:p>
    <w:p>
      <w:pPr>
        <w:pStyle w:val="BodyText"/>
      </w:pPr>
      <w:r>
        <w:t xml:space="preserve">Устанавливаю дополнительное ПО (рис. 9).</w:t>
      </w:r>
    </w:p>
    <w:p>
      <w:pPr>
        <w:pStyle w:val="CaptionedFigure"/>
      </w:pPr>
      <w:r>
        <w:drawing>
          <wp:inline>
            <wp:extent cx="3733800" cy="2327790"/>
            <wp:effectExtent b="0" l="0" r="0" t="0"/>
            <wp:docPr descr="Дополнительное ПО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Дополнительное ПО</w:t>
      </w:r>
    </w:p>
    <w:p>
      <w:pPr>
        <w:pStyle w:val="BodyText"/>
      </w:pPr>
      <w:r>
        <w:t xml:space="preserve">Установка шрифтов (рис. 10).</w:t>
      </w:r>
    </w:p>
    <w:p>
      <w:pPr>
        <w:pStyle w:val="CaptionedFigure"/>
      </w:pPr>
      <w:r>
        <w:drawing>
          <wp:inline>
            <wp:extent cx="3733800" cy="1709380"/>
            <wp:effectExtent b="0" l="0" r="0" t="0"/>
            <wp:docPr descr="Установк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</w:t>
      </w:r>
    </w:p>
    <w:p>
      <w:pPr>
        <w:pStyle w:val="BodyText"/>
      </w:pPr>
      <w:r>
        <w:t xml:space="preserve">Установка шрифтов (рис. 11).</w:t>
      </w:r>
    </w:p>
    <w:p>
      <w:pPr>
        <w:pStyle w:val="CaptionedFigure"/>
      </w:pPr>
      <w:r>
        <w:drawing>
          <wp:inline>
            <wp:extent cx="3733800" cy="1105554"/>
            <wp:effectExtent b="0" l="0" r="0" t="0"/>
            <wp:docPr descr="Установк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</w:t>
      </w:r>
    </w:p>
    <w:p>
      <w:pPr>
        <w:pStyle w:val="BodyText"/>
      </w:pPr>
      <w:r>
        <w:t xml:space="preserve">Установка бинарного файла. Скрипт определяет архитектуру процессора и операционную систему и скачивает необходимый файл (рис. 12).</w:t>
      </w:r>
    </w:p>
    <w:p>
      <w:pPr>
        <w:pStyle w:val="CaptionedFigure"/>
      </w:pPr>
      <w:r>
        <w:drawing>
          <wp:inline>
            <wp:extent cx="3733800" cy="469795"/>
            <wp:effectExtent b="0" l="0" r="0" t="0"/>
            <wp:docPr descr="Установка файл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файла</w:t>
      </w:r>
    </w:p>
    <w:p>
      <w:pPr>
        <w:pStyle w:val="BodyText"/>
      </w:pPr>
      <w:r>
        <w:t xml:space="preserve">Создание собственного репозитория с помощью утилит (рис. 13).</w:t>
      </w:r>
    </w:p>
    <w:p>
      <w:pPr>
        <w:pStyle w:val="CaptionedFigure"/>
      </w:pPr>
      <w:r>
        <w:drawing>
          <wp:inline>
            <wp:extent cx="3733800" cy="280035"/>
            <wp:effectExtent b="0" l="0" r="0" t="0"/>
            <wp:docPr descr="Создание репозитория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репозитория</w:t>
      </w:r>
    </w:p>
    <w:p>
      <w:pPr>
        <w:pStyle w:val="BodyText"/>
      </w:pPr>
      <w:r>
        <w:t xml:space="preserve">Инициализирую chezmoi с моим репозиторием dotfiles. Проверяю, какие изменения внесёт chezmoi в домашний каталог, запустив: chezmoi diff (рис. 14).</w:t>
      </w:r>
    </w:p>
    <w:p>
      <w:pPr>
        <w:pStyle w:val="CaptionedFigure"/>
      </w:pPr>
      <w:r>
        <w:drawing>
          <wp:inline>
            <wp:extent cx="3733800" cy="984250"/>
            <wp:effectExtent b="0" l="0" r="0" t="0"/>
            <wp:docPr descr="Подключение репозитория к своей системе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Подключение репозитория к своей системе</w:t>
      </w:r>
    </w:p>
    <w:p>
      <w:pPr>
        <w:pStyle w:val="BodyText"/>
      </w:pPr>
      <w:r>
        <w:t xml:space="preserve">Так как меня устраивают внесённые изменения запускаю : chezmoi apply -v (рис. 15).</w:t>
      </w:r>
    </w:p>
    <w:p>
      <w:pPr>
        <w:pStyle w:val="CaptionedFigure"/>
      </w:pPr>
      <w:r>
        <w:drawing>
          <wp:inline>
            <wp:extent cx="3733800" cy="230416"/>
            <wp:effectExtent b="0" l="0" r="0" t="0"/>
            <wp:docPr descr="Подтверждаю изменения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Подтверждаю изменения</w:t>
      </w:r>
    </w:p>
    <w:p>
      <w:pPr>
        <w:pStyle w:val="BodyText"/>
      </w:pPr>
      <w:r>
        <w:t xml:space="preserve">Извлекаю последние изменеия из репозитория и применяю их (рис. 16).</w:t>
      </w:r>
    </w:p>
    <w:p>
      <w:pPr>
        <w:pStyle w:val="CaptionedFigure"/>
      </w:pPr>
      <w:r>
        <w:drawing>
          <wp:inline>
            <wp:extent cx="3733800" cy="708838"/>
            <wp:effectExtent b="0" l="0" r="0" t="0"/>
            <wp:docPr descr="Проверяю и подтверждаю изменения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Проверяю и подтверждаю изменения</w:t>
      </w:r>
    </w:p>
    <w:p>
      <w:pPr>
        <w:pStyle w:val="BodyText"/>
      </w:pPr>
      <w:r>
        <w:t xml:space="preserve">Добавляю функцию автоматической фиксации и отправления изменений, исправив файл ~/.config/chezmoi/chezmoi.toml (рис. 17).</w:t>
      </w:r>
    </w:p>
    <w:p>
      <w:pPr>
        <w:pStyle w:val="CaptionedFigure"/>
      </w:pPr>
      <w:r>
        <w:drawing>
          <wp:inline>
            <wp:extent cx="3733800" cy="1224259"/>
            <wp:effectExtent b="0" l="0" r="0" t="0"/>
            <wp:docPr descr="Изменияю файл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Изменияю файл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Настроила рабочую среду, создала репозиторий менеджера паролей.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End w:id="76"/>
    <w:p>
      <w:pPr>
        <w:numPr>
          <w:ilvl w:val="0"/>
          <w:numId w:val="1010"/>
        </w:numPr>
        <w:pStyle w:val="Compact"/>
      </w:pPr>
      <w:r>
        <w:t xml:space="preserve">Dash, P. Getting Started with Oracle VM VirtualBox / P. Dash. – Packt Publishing Ltd, 2013. – 86 сс.</w:t>
      </w:r>
    </w:p>
    <w:p>
      <w:pPr>
        <w:numPr>
          <w:ilvl w:val="0"/>
          <w:numId w:val="1010"/>
        </w:numPr>
        <w:pStyle w:val="Compact"/>
      </w:pPr>
      <w:r>
        <w:t xml:space="preserve">Colvin, H. VirtualBox: An Ultimate Guide Book on Virtualization with VirtualBox. VirtualBox / H. Colvin. – CreateSpace Independent Publishing Platform, 2015. – 70 сс.</w:t>
      </w:r>
    </w:p>
    <w:p>
      <w:pPr>
        <w:numPr>
          <w:ilvl w:val="0"/>
          <w:numId w:val="1010"/>
        </w:numPr>
        <w:pStyle w:val="Compact"/>
      </w:pPr>
      <w:r>
        <w:t xml:space="preserve">Vugt, S. van. Red Hat RHCSA/RHCE 7 cert guide : Red Hat Enterprise Linux 7 (EX200 and EX300) : Certification Guide. Red Hat RHCSA/RHCE 7 cert guide / S. van Vugt. – Pearson IT Certification, 2016. – 1008 сс.</w:t>
      </w:r>
    </w:p>
    <w:p>
      <w:pPr>
        <w:numPr>
          <w:ilvl w:val="0"/>
          <w:numId w:val="1010"/>
        </w:numPr>
        <w:pStyle w:val="Compact"/>
      </w:pPr>
      <w:r>
        <w:t xml:space="preserve">Робачевский, А. Операционная система UNIX / А. Робачевский, С. Немнюгин, О. Стесик. – 2-е изд. – Санкт-Петербург : БХВ-Петербург, 2010. – 656 сс.</w:t>
      </w:r>
    </w:p>
    <w:p>
      <w:pPr>
        <w:numPr>
          <w:ilvl w:val="0"/>
          <w:numId w:val="1010"/>
        </w:numPr>
        <w:pStyle w:val="Compact"/>
      </w:pPr>
      <w:r>
        <w:t xml:space="preserve">Немет, Э. Unix и Linux: руководство системного администратора. Unix и Linux / Э. Немет, Г. Снайдер, Т.Р. Хейн, Б. Уэйли. – 4-е изд. – Вильямс, 2014. – 1312 сс.</w:t>
      </w:r>
    </w:p>
    <w:p>
      <w:pPr>
        <w:numPr>
          <w:ilvl w:val="0"/>
          <w:numId w:val="1010"/>
        </w:numPr>
        <w:pStyle w:val="Compact"/>
      </w:pPr>
      <w:r>
        <w:t xml:space="preserve">Колисниченко, Д.Н. Самоучитель системного администратора Linux : Системный администратор / Д.Н. Колисниченко. – Санкт-Петербург : БХВ-Петербург, 2011. – 544 сс.</w:t>
      </w:r>
    </w:p>
    <w:p>
      <w:pPr>
        <w:numPr>
          <w:ilvl w:val="0"/>
          <w:numId w:val="1010"/>
        </w:numPr>
        <w:pStyle w:val="Compact"/>
      </w:pPr>
      <w:r>
        <w:t xml:space="preserve">Robbins, A. Bash Pocket Reference / A. Robbins. – O’Reilly Media, 2016. – 156 сс.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Симонова Виктория Игоревна</dc:creator>
  <dc:language>ru-RU</dc:language>
  <cp:keywords/>
  <dcterms:created xsi:type="dcterms:W3CDTF">2024-03-11T22:14:15Z</dcterms:created>
  <dcterms:modified xsi:type="dcterms:W3CDTF">2024-03-11T22:14:15Z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/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