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机械加工工艺过程卡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零件名称: </w:t>
            </w:r>
            <w:r>
              <w:rPr>
                <w:rFonts w:ascii="SimSun" w:hAnsi="SimSun" w:eastAsia="SimSun"/>
                <w:sz w:val="20"/>
              </w:rPr>
              <w:t>盘类</w:t>
            </w:r>
          </w:p>
        </w:tc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材料: </w:t>
            </w:r>
            <w:r>
              <w:rPr>
                <w:rFonts w:ascii="SimSun" w:hAnsi="SimSun" w:eastAsia="SimSun"/>
                <w:sz w:val="20"/>
              </w:rPr>
              <w:t>Z2CN19-10NS 奥氏体不锈钢</w:t>
            </w:r>
          </w:p>
        </w:tc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毛坯规格: </w:t>
            </w:r>
            <w:r>
              <w:rPr>
                <w:rFonts w:ascii="SimSun" w:hAnsi="SimSun" w:eastAsia="SimSun"/>
                <w:sz w:val="20"/>
              </w:rPr>
              <w:t>锻件毛坯，外径 Φ290，内径 Φ130，厚度 65mm</w:t>
            </w:r>
          </w:p>
        </w:tc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编制日期: </w:t>
            </w:r>
            <w:r>
              <w:rPr>
                <w:rFonts w:ascii="SimSun" w:hAnsi="SimSun" w:eastAsia="SimSun"/>
                <w:sz w:val="20"/>
              </w:rPr>
              <w:t>2026-03-28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工序号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工种名称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设备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工艺装备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核对材质单与牌号 Z2CN19-10NS 一致性，确保化学成分达标</w:t>
              <w:br/>
              <w:t>检查锻件毛坯表面缺陷，确认外径Φ290mm、内径Φ130mm、厚度 65mm 尺寸余量充足</w:t>
              <w:br/>
              <w:t>记录毛坯炉批号，确保可追溯性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检验平台/光谱仪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材质单、卷尺、游标卡尺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使用带锯床将毛坯切割至厚度 35mm，预留端面加工余量</w:t>
              <w:br/>
              <w:t>切口平整，避免后续夹持困难，去除了大部分多余材料</w:t>
              <w:br/>
              <w:t>切割过程中使用冷却液，防止切口过热变色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带锯床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锯条、冷却液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加热至 1050℃~1100℃保温，消除锻造及切割应力</w:t>
              <w:br/>
              <w:t>水淬冷却，软化材料降低加工硬化倾向，提高耐蚀性</w:t>
              <w:br/>
              <w:t>处理后表面酸洗去除氧化皮，恢复不锈钢本色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热处理炉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热处理夹具、酸洗槽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三爪卡盘装夹，粗车外圆至φ105mm，端面至 32mm，内孔至φ32mm</w:t>
              <w:br/>
              <w:t>大背吃刀量连续切削避免硬化，预留精加工余量 0.5mm</w:t>
              <w:br/>
              <w:t>使用强力冷却液，切削速度控制在 90m/min 以内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C6140 车床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硬质合金粗车刀、冷却液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使用软爪装夹防止夹紧变形，精车外圆φ103mm，总厚 30.5mm</w:t>
              <w:br/>
              <w:t>精镗内孔φ34(+0.25/0)mm 及φ40mm 台阶，保证待焊面质量</w:t>
              <w:br/>
              <w:t>车削 1.5mm 凸台，控制表面粗糙度 Ra3.2，锐边倒圆 R0.1~0.5mm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C6140 车床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TiAlN 涂层硬质合金精车刀、软爪、内孔量规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以精车后的内孔及端面为基准，找正中心</w:t>
              <w:br/>
              <w:t>铣削 2-R4 槽/缺口，控制位置距中心 15(+0.3/0)mm</w:t>
              <w:br/>
              <w:t>保证槽位相对于基准 B,C 的位置度φ0.1mm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X52K 铣床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φ8mm 硬质合金立铣刀、分度头、百分表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清除所有加工面锐边毛刺，特别是内孔及槽口边缘</w:t>
              <w:br/>
              <w:t>按技术要求未注锐边倒圆，圆角半径 0.1mm~0.5mm</w:t>
              <w:br/>
              <w:t>避免划伤配合面及待焊面，保持表面清洁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钳工台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油石、刮刀、锉刀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去除表面游离铁离子及油污，防止二次污染</w:t>
              <w:br/>
              <w:t>进行钝化处理形成致密氧化膜提高耐蚀性</w:t>
              <w:br/>
              <w:t>全过程防止铁离子污染，使用专用不锈钢工装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清洗钝化槽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钝化液、超声波清洗机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全尺寸检测，重点检查φ34 孔及 15mm 槽位位置度φ0.1</w:t>
              <w:br/>
              <w:t>待焊面φ34 孔进行液体渗透检查（PT），确保无裂纹</w:t>
              <w:br/>
              <w:t>核对零件标识及特殊技术协议要求，表面质量确认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三坐标/量具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游标卡尺、千分尺、PT 探伤剂、位置度检具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50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真空包装或防锈纸包裹，隔离碳钢防止铁污染</w:t>
              <w:br/>
              <w:t>标识清晰，包含零件号、材质、批次号</w:t>
              <w:br/>
              <w:t>存放于干燥清洁区域，避免磕碰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包装台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防锈纸、包装盒、标签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编制: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审核: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批准:          </w:t>
            </w:r>
          </w:p>
        </w:tc>
      </w:tr>
      <w:tr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 xml:space="preserve">日期: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 xml:space="preserve">日期: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 xml:space="preserve">日期:          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