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1 - Selection and Research</w:t>
      </w:r>
    </w:p>
    <w:p>
      <w:pPr>
        <w:pStyle w:val="Heading1"/>
        <w:spacing w:after="120" w:line="259" w:lineRule="auto"/>
      </w:pPr>
      <w:r>
        <w:t>1. Introduction</w:t>
      </w:r>
    </w:p>
    <w:p>
      <w:pPr>
        <w:spacing w:after="120" w:line="259" w:lineRule="auto"/>
      </w:pPr>
      <w:r>
        <w:t>This project designs a jurisdiction-aware AI credit scoring governance tool for a cross-border bank. The tool is not intended to make final lending decisions. It operates as a governance and compliance monitoring layer around an existing credit scoring model, helping compliance, model risk, and AI governance teams monitor fairness, explainability, model drift, and jurisdiction-specific regulatory obligations.</w:t>
      </w:r>
    </w:p>
    <w:p>
      <w:pPr>
        <w:spacing w:after="120" w:line="259" w:lineRule="auto"/>
      </w:pPr>
      <w:r>
        <w:t>The project focuses on the United States and the European Union because they both regulate AI-enabled credit decisions but emphasize different governance concerns. The United States approach is anchored in fair lending, anti-discrimination, and adverse action explanation requirements. The European Union approach is broader and treats creditworthiness and credit scoring AI as part of the high-risk AI governance framework.</w:t>
      </w:r>
    </w:p>
    <w:p>
      <w:pPr>
        <w:pStyle w:val="Heading1"/>
        <w:spacing w:after="120" w:line="259" w:lineRule="auto"/>
      </w:pPr>
      <w:r>
        <w:t>2. Selected Entity: HSBC</w:t>
      </w:r>
    </w:p>
    <w:p>
      <w:pPr>
        <w:spacing w:after="120" w:line="259" w:lineRule="auto"/>
      </w:pPr>
      <w:r>
        <w:t>HSBC Holdings plc is used as the selected regulated entity because it is a large international banking group with operations across multiple jurisdictions, including markets that are exposed to United States and European Union regulatory expectations. A global bank of this type faces practical difficulties when one AI credit model or governance process must operate across jurisdictions with different legal priorities.</w:t>
      </w:r>
    </w:p>
    <w:p>
      <w:pPr>
        <w:spacing w:after="120" w:line="259" w:lineRule="auto"/>
      </w:pPr>
      <w:r>
        <w:t>HSBC is a suitable case study because large cross-border banks are likely to use machine learning in areas such as credit assessment, fraud detection, customer onboarding, and model risk management. They also face supervisory pressure to demonstrate that AI systems are explainable, fair, monitored, and subject to human governance.</w:t>
      </w:r>
    </w:p>
    <w:p>
      <w:pPr>
        <w:pStyle w:val="Heading1"/>
        <w:spacing w:after="120" w:line="259" w:lineRule="auto"/>
      </w:pPr>
      <w:r>
        <w:t>3. Domain Selection: AI Credit Scoring Governance</w:t>
      </w:r>
    </w:p>
    <w:p>
      <w:pPr>
        <w:spacing w:after="120" w:line="259" w:lineRule="auto"/>
      </w:pPr>
      <w:r>
        <w:t>The selected domain is AI credit scoring governance. AI credit scoring systems estimate borrower risk using financial, behavioral, and application data. These systems can improve operational efficiency, but they also create governance risks because credit decisions affect access to financial services.</w:t>
      </w:r>
    </w:p>
    <w:p>
      <w:pPr>
        <w:pStyle w:val="ListBullet"/>
        <w:spacing w:after="40"/>
      </w:pPr>
      <w:r>
        <w:t>Discriminatory or disparate lending outcomes.</w:t>
      </w:r>
    </w:p>
    <w:p>
      <w:pPr>
        <w:pStyle w:val="ListBullet"/>
        <w:spacing w:after="40"/>
      </w:pPr>
      <w:r>
        <w:t>Unclear or insufficient explanations for rejected applicants.</w:t>
      </w:r>
    </w:p>
    <w:p>
      <w:pPr>
        <w:pStyle w:val="ListBullet"/>
        <w:spacing w:after="40"/>
      </w:pPr>
      <w:r>
        <w:t>Model drift after deployment as applicant populations change.</w:t>
      </w:r>
    </w:p>
    <w:p>
      <w:pPr>
        <w:pStyle w:val="ListBullet"/>
        <w:spacing w:after="40"/>
      </w:pPr>
      <w:r>
        <w:t>Data quality and proxy discrimination risks.</w:t>
      </w:r>
    </w:p>
    <w:p>
      <w:pPr>
        <w:pStyle w:val="ListBullet"/>
        <w:spacing w:after="40"/>
      </w:pPr>
      <w:r>
        <w:t>Over-reliance on automated scoring without appropriate human oversight.</w:t>
      </w:r>
    </w:p>
    <w:p>
      <w:pPr>
        <w:pStyle w:val="ListBullet"/>
        <w:spacing w:after="40"/>
      </w:pPr>
      <w:r>
        <w:t>Jurisdictional misconfiguration where one country's governance assumptions are applied to another country.</w:t>
      </w:r>
    </w:p>
    <w:p>
      <w:pPr>
        <w:pStyle w:val="Heading1"/>
        <w:spacing w:after="120" w:line="259" w:lineRule="auto"/>
      </w:pPr>
      <w:r>
        <w:t>4. United States Regulatory Approach</w:t>
      </w:r>
    </w:p>
    <w:p>
      <w:pPr>
        <w:spacing w:after="120" w:line="259" w:lineRule="auto"/>
      </w:pPr>
      <w:r>
        <w:t>The United States logic in this project is based on fair lending and consumer protection obligations, particularly the Equal Credit Opportunity Act (ECOA), Regulation B, and official CFPB guidance on adverse action explanations when creditors use complex algorithms.</w:t>
      </w:r>
    </w:p>
    <w:p>
      <w:pPr>
        <w:spacing w:after="120" w:line="259" w:lineRule="auto"/>
      </w:pPr>
      <w:r>
        <w:t>CFPB Circular 2022-03 states that creditors using complex algorithms must still provide accurate statements of reasons when adverse action is taken. CFPB Circular 2023-03 further emphasizes that sample adverse action reasons are not sufficient when they do not specifically and accurately describe the actual principal reasons for denial. This supports the prototype's rejection reason module and its emphasis on explainability.</w:t>
      </w:r>
    </w:p>
    <w:p>
      <w:pPr>
        <w:spacing w:after="120" w:line="259" w:lineRule="auto"/>
      </w:pPr>
      <w:r>
        <w:t>The United States rule logic therefore emphasizes approval disparity, false positive and false negative gaps, fair lending review, and validation of adverse action explanations. The OCC's model risk management materials also support the use of monitoring and review processes for model performance and drift, although the prototype does not treat OCC guidance as a fair lending statute.</w:t>
      </w:r>
    </w:p>
    <w:p>
      <w:pPr>
        <w:pStyle w:val="Heading1"/>
        <w:spacing w:after="120" w:line="259" w:lineRule="auto"/>
      </w:pPr>
      <w:r>
        <w:t>5. European Union Regulatory Approach</w:t>
      </w:r>
    </w:p>
    <w:p>
      <w:pPr>
        <w:spacing w:after="120" w:line="259" w:lineRule="auto"/>
      </w:pPr>
      <w:r>
        <w:t>The European Union logic is based on Regulation (EU) 2024/1689, the EU AI Act. Under Annex III, AI systems used to evaluate the creditworthiness of natural persons or establish their credit score are treated as high-risk AI systems, subject to limited exceptions. This makes AI credit scoring a governance-intensive use case in the EU.</w:t>
      </w:r>
    </w:p>
    <w:p>
      <w:pPr>
        <w:spacing w:after="120" w:line="259" w:lineRule="auto"/>
      </w:pPr>
      <w:r>
        <w:t>For high-risk AI systems, the AI Act includes requirements on risk management, data governance, technical documentation, record keeping, transparency, human oversight, accuracy, robustness, cybersecurity, and post-market monitoring. The European Parliament research note on algorithmic discrimination under the AI Act and GDPR also highlights that credit scoring and banking systems can hide discrimination or bias through factors such as residence or ethnicity, which supports the prototype's fairness monitoring layer.</w:t>
      </w:r>
    </w:p>
    <w:p>
      <w:pPr>
        <w:spacing w:after="120" w:line="259" w:lineRule="auto"/>
      </w:pPr>
      <w:r>
        <w:t>The EU rule logic therefore emphasizes not only fairness outcomes but also lifecycle governance: human oversight escalation, risk-management updates, technical documentation, monitoring logs, and governance records.</w:t>
      </w:r>
    </w:p>
    <w:p>
      <w:pPr>
        <w:pStyle w:val="Heading1"/>
        <w:spacing w:after="120" w:line="259" w:lineRule="auto"/>
      </w:pPr>
      <w:r>
        <w:t>6. Regulatory Divergence and Tool Rationale</w:t>
      </w:r>
    </w:p>
    <w:p>
      <w:pPr>
        <w:spacing w:after="120" w:line="259" w:lineRule="auto"/>
      </w:pPr>
      <w:r>
        <w:t>The same model metric can have different governance consequences in different jurisdictions. A fairness gap may lead to a United States fair lending review and adverse action explanation validation, while the same issue in the European Union may additionally trigger high-risk AI governance documentation, human oversight, and lifecycle risk management actions.</w:t>
      </w:r>
    </w:p>
    <w:p>
      <w:pPr>
        <w:spacing w:after="120" w:line="259" w:lineRule="auto"/>
      </w:pPr>
      <w:r>
        <w:t>This is why a jurisdiction-aware RegTech tool is necessary. Static policy documents or spreadsheets are not enough to monitor fairness, explainability, drift, and regulatory workflows across jurisdictions. A configurable rule engine can translate real regulatory expectations into operational controls while still leaving final legal interpretation to human compliance and legal professionals.</w:t>
      </w:r>
    </w:p>
    <w:p>
      <w:pPr>
        <w:pStyle w:val="Heading1"/>
        <w:spacing w:after="120" w:line="259" w:lineRule="auto"/>
      </w:pPr>
      <w:r>
        <w:t>7. Official Sources Used</w:t>
      </w:r>
    </w:p>
    <w:p>
      <w:pPr>
        <w:pStyle w:val="ListBullet"/>
        <w:spacing w:after="40"/>
      </w:pPr>
      <w:r>
        <w:t>CFPB Circular 2022-03: https://www.consumerfinance.gov/compliance/circulars/circular-2022-03-adverse-action-notification-requirements-in-connection-with-credit-decisions-based-on-complex-algorithms/</w:t>
      </w:r>
    </w:p>
    <w:p>
      <w:pPr>
        <w:pStyle w:val="ListBullet"/>
        <w:spacing w:after="40"/>
      </w:pPr>
      <w:r>
        <w:t>CFPB Circular 2023-03: https://www.consumerfinance.gov/compliance/circulars/circular-2023-03-adverse-action-notification-requirements-and-the-proper-use-of-the-cfpbs-sample-forms-provided-in-regulation-b/</w:t>
      </w:r>
    </w:p>
    <w:p>
      <w:pPr>
        <w:pStyle w:val="ListBullet"/>
        <w:spacing w:after="40"/>
      </w:pPr>
      <w:r>
        <w:t>CFPB AI credit denial guidance: https://www.consumerfinance.gov/about-us/newsroom/cfpb-issues-guidance-on-credit-denials-by-lenders-using-artificial-intelligence/</w:t>
      </w:r>
    </w:p>
    <w:p>
      <w:pPr>
        <w:pStyle w:val="ListBullet"/>
        <w:spacing w:after="40"/>
      </w:pPr>
      <w:r>
        <w:t>Regulation (EU) 2024/1689, EU AI Act: https://eur-lex.europa.eu/legal-content/EN/TXT/?uri=CELEX:32024R1689</w:t>
      </w:r>
    </w:p>
    <w:p>
      <w:pPr>
        <w:pStyle w:val="ListBullet"/>
        <w:spacing w:after="40"/>
      </w:pPr>
      <w:r>
        <w:t>European Parliament EPRS note on algorithmic discrimination under the AI Act and GDPR: https://www.europarl.europa.eu/RegData/etudes/ATAG/2025/769509/EPRS_ATA(2025)769509_EN.pdf</w:t>
      </w:r>
    </w:p>
    <w:p>
      <w:pPr>
        <w:pStyle w:val="ListBullet"/>
        <w:spacing w:after="40"/>
      </w:pPr>
      <w:r>
        <w:t>OCC Model Risk Management guidance: https://www.occ.treas.gov/news-issuances/bulletins/2026/bulletin-2026-13.html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