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2 - Values Audit</w:t>
      </w:r>
    </w:p>
    <w:p>
      <w:pPr>
        <w:pStyle w:val="Heading1"/>
        <w:spacing w:after="120" w:line="259" w:lineRule="auto"/>
      </w:pPr>
      <w:r>
        <w:t>1. Company Mission and Core Values</w:t>
      </w:r>
    </w:p>
    <w:p>
      <w:pPr>
        <w:spacing w:after="120" w:line="259" w:lineRule="auto"/>
      </w:pPr>
      <w:r>
        <w:t>The proposed company is RegSphere AI Governance Solutions, a hypothetical B2B RegTech startup that builds AI governance and cross-jurisdictional compliance monitoring tools for financial institutions. Its mission is to improve trust, transparency, and accountability in AI-driven financial decision-making.</w:t>
      </w:r>
    </w:p>
    <w:p>
      <w:pPr>
        <w:pStyle w:val="ListBullet"/>
        <w:spacing w:after="40"/>
      </w:pPr>
      <w:r>
        <w:t>Fairness: monitor whether credit models create unequal outcomes across protected or sensitive groups.</w:t>
      </w:r>
    </w:p>
    <w:p>
      <w:pPr>
        <w:pStyle w:val="ListBullet"/>
        <w:spacing w:after="40"/>
      </w:pPr>
      <w:r>
        <w:t>Transparency: make model outputs and rejection reasons understandable to compliance teams and affected consumers.</w:t>
      </w:r>
    </w:p>
    <w:p>
      <w:pPr>
        <w:pStyle w:val="ListBullet"/>
        <w:spacing w:after="40"/>
      </w:pPr>
      <w:r>
        <w:t>Accountability: create governance records that support review rather than hiding decisions behind automation.</w:t>
      </w:r>
    </w:p>
    <w:p>
      <w:pPr>
        <w:pStyle w:val="ListBullet"/>
        <w:spacing w:after="40"/>
      </w:pPr>
      <w:r>
        <w:t>Regulatory adaptability: translate jurisdiction-specific obligations into configurable workflows.</w:t>
      </w:r>
    </w:p>
    <w:p>
      <w:pPr>
        <w:pStyle w:val="ListBullet"/>
        <w:spacing w:after="40"/>
      </w:pPr>
      <w:r>
        <w:t>Responsible automation: assist human review instead of replacing legal or compliance judgement.</w:t>
      </w:r>
    </w:p>
    <w:p>
      <w:pPr>
        <w:pStyle w:val="Heading1"/>
        <w:spacing w:after="120" w:line="259" w:lineRule="auto"/>
      </w:pPr>
      <w:r>
        <w:t>2. Whose Perspective Does the Tool Serve?</w:t>
      </w:r>
    </w:p>
    <w:p>
      <w:pPr>
        <w:spacing w:after="120" w:line="259" w:lineRule="auto"/>
      </w:pPr>
      <w:r>
        <w:t>The direct users are compliance teams, model risk management teams, chief compliance officers, and AI governance committees within banks. The tool indirectly serves regulators and consumers because it improves the institution's ability to detect fairness, explainability, and model monitoring issues before they create consumer harm.</w:t>
      </w:r>
    </w:p>
    <w:p>
      <w:pPr>
        <w:spacing w:after="120" w:line="259" w:lineRule="auto"/>
      </w:pPr>
      <w:r>
        <w:t>This perspective creates a real tension. Banks want scalable automation, lower compliance costs, and faster lending operations. Regulators want fair treatment, accountability, explainability, and evidence of governance. Consumers want fair access to credit and understandable reasons when they are rejected. The tool is designed to help manage these tensions, not to eliminate them.</w:t>
      </w:r>
    </w:p>
    <w:p>
      <w:pPr>
        <w:pStyle w:val="Heading1"/>
        <w:spacing w:after="120" w:line="259" w:lineRule="auto"/>
      </w:pPr>
      <w:r>
        <w:t>3. Genuine Risk Measurement, Not Checklist Compliance</w:t>
      </w:r>
    </w:p>
    <w:p>
      <w:pPr>
        <w:spacing w:after="120" w:line="259" w:lineRule="auto"/>
      </w:pPr>
      <w:r>
        <w:t>The tool is designed to measure genuine governance risk rather than merely document compliance activity. It monitors approval disparity, false positive rate gaps, false negative rate gaps, rejection reasons, model performance, and drift over time. These are operational indicators that can reveal emerging harm even when a policy document appears complete.</w:t>
      </w:r>
    </w:p>
    <w:p>
      <w:pPr>
        <w:spacing w:after="120" w:line="259" w:lineRule="auto"/>
      </w:pPr>
      <w:r>
        <w:t>The Task 3 prototype supports this value choice by using synthetic loan data, a simple credit scoring model, fairness metrics, feature importance, rejection reasons, model drift monitoring through PSI, and a jurisdiction-specific rule engine.</w:t>
      </w:r>
    </w:p>
    <w:p>
      <w:pPr>
        <w:pStyle w:val="Heading1"/>
        <w:spacing w:after="120" w:line="259" w:lineRule="auto"/>
      </w:pPr>
      <w:r>
        <w:t>4. Who Bears the Cost if the Tool Gets It Wrong?</w:t>
      </w:r>
    </w:p>
    <w:p>
      <w:pPr>
        <w:pStyle w:val="Heading2"/>
        <w:spacing w:after="120" w:line="259" w:lineRule="auto"/>
      </w:pPr>
      <w:r>
        <w:t>False positives</w:t>
      </w:r>
    </w:p>
    <w:p>
      <w:pPr>
        <w:spacing w:after="120" w:line="259" w:lineRule="auto"/>
      </w:pPr>
      <w:r>
        <w:t>A false positive occurs when the tool flags a governance issue that is not actually serious. The main costs are additional manual review, delayed approvals, higher compliance workload, and reduced operational efficiency. Banks bear much of this cost, although consumers may also experience delays.</w:t>
      </w:r>
    </w:p>
    <w:p>
      <w:pPr>
        <w:pStyle w:val="Heading2"/>
        <w:spacing w:after="120" w:line="259" w:lineRule="auto"/>
      </w:pPr>
      <w:r>
        <w:t>False negatives</w:t>
      </w:r>
    </w:p>
    <w:p>
      <w:pPr>
        <w:spacing w:after="120" w:line="259" w:lineRule="auto"/>
      </w:pPr>
      <w:r>
        <w:t>A false negative is more serious because the tool fails to identify a real fairness, explainability, or drift problem. Consumers may face discriminatory outcomes or unexplained denial of credit, while the institution may face regulatory, legal, and reputational harm. This is why the prototype errs toward escalation when fairness gaps are material.</w:t>
      </w:r>
    </w:p>
    <w:p>
      <w:pPr>
        <w:pStyle w:val="Heading2"/>
        <w:spacing w:after="120" w:line="259" w:lineRule="auto"/>
      </w:pPr>
      <w:r>
        <w:t>Jurisdictional misconfiguration</w:t>
      </w:r>
    </w:p>
    <w:p>
      <w:pPr>
        <w:spacing w:after="120" w:line="259" w:lineRule="auto"/>
      </w:pPr>
      <w:r>
        <w:t>A cross-border bank can also be harmed if the tool applies the wrong jurisdictional logic. For example, using only a United States fair lending lens for an EU high-risk AI system could miss human oversight, technical documentation, and post-market monitoring expectations under the EU AI Act.</w:t>
      </w:r>
    </w:p>
    <w:p>
      <w:pPr>
        <w:pStyle w:val="Heading1"/>
        <w:spacing w:after="120" w:line="259" w:lineRule="auto"/>
      </w:pPr>
      <w:r>
        <w:t>5. Limits and Human Judgement</w:t>
      </w:r>
    </w:p>
    <w:p>
      <w:pPr>
        <w:spacing w:after="120" w:line="259" w:lineRule="auto"/>
      </w:pPr>
      <w:r>
        <w:t>The tool should not claim to automate legal interpretation. Its thresholds are internal governance triggers, not statutory thresholds. A breach should generate a documented review and escalation workflow, not an automatic legal conclusion.</w:t>
      </w:r>
    </w:p>
    <w:p>
      <w:pPr>
        <w:spacing w:after="120" w:line="259" w:lineRule="auto"/>
      </w:pPr>
      <w:r>
        <w:t>This limitation is part of the values design. Responsible automation means the system helps humans see risk earlier and more consistently, while final decisions remain with qualified compliance, legal, and model risk professionals.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