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3 - One-Page Written Summary</w:t>
      </w:r>
    </w:p>
    <w:p>
      <w:pPr>
        <w:pStyle w:val="Heading1"/>
        <w:spacing w:after="120" w:line="259" w:lineRule="auto"/>
      </w:pPr>
      <w:r>
        <w:t>One-Page Written Summary</w:t>
      </w:r>
    </w:p>
    <w:p>
      <w:pPr>
        <w:spacing w:after="120" w:line="259" w:lineRule="auto"/>
      </w:pPr>
      <w:r>
        <w:t>This project designs a jurisdiction-aware AI credit scoring governance tool for a cross-border bank. The product is intended for large international financial institutions that use AI-supported lending systems while operating across multiple regulatory environments. It is not a loan approval system and does not replace legal or compliance judgement. Instead, it acts as a governance and compliance monitoring layer around an existing credit scoring model.</w:t>
      </w:r>
    </w:p>
    <w:p>
      <w:pPr>
        <w:spacing w:after="120" w:line="259" w:lineRule="auto"/>
      </w:pPr>
      <w:r>
        <w:t>The project focuses on the United States and the European Union. In the United States, the key regulatory logic is based on fair lending, anti-discrimination, and adverse action explanation requirements under ECOA, Regulation B, and CFPB guidance on credit decisions using complex algorithms. In the European Union, the key regulatory logic is based on the EU AI Act, Regulation (EU) 2024/1689, which treats AI systems used to evaluate the creditworthiness of natural persons or establish credit scores as high-risk AI systems, subject to limited exceptions.</w:t>
      </w:r>
    </w:p>
    <w:p>
      <w:pPr>
        <w:spacing w:after="120" w:line="259" w:lineRule="auto"/>
      </w:pPr>
      <w:r>
        <w:t>The Task 3 prototype is implemented in Task3_demo.ipynb. It generates synthetic loan data, trains a simple logistic regression credit scoring model, reports accuracy, AUC, and a confusion matrix, calculates approval disparity, false positive rate gaps, and false negative rate gaps, produces feature importance and rejection reasons, simulates a six-month monitoring period, detects model drift using PSI, and exports result tables and charts for presentation use.</w:t>
      </w:r>
    </w:p>
    <w:p>
      <w:pPr>
        <w:spacing w:after="120" w:line="259" w:lineRule="auto"/>
      </w:pPr>
      <w:r>
        <w:t>The jurisdiction rule engine shows that the same model metric can trigger different governance outcomes. For example, the prototype's latest monitoring PSI is treated as an EU drift breach under the EU internal governance threshold, causing a high-risk AI governance response involving human oversight escalation, monitoring logs, and documentation updates. The same PSI does not trigger the United States drift control under the prototype's US internal threshold, although fairness gaps still trigger fair lending review and adverse action explanation validation.</w:t>
      </w:r>
    </w:p>
    <w:p>
      <w:pPr>
        <w:spacing w:after="120" w:line="259" w:lineRule="auto"/>
      </w:pPr>
      <w:r>
        <w:t>The numeric thresholds in the prototype are not statutory thresholds. They are internal governance thresholds chosen to demonstrate how real jurisdiction-specific regulatory expectations can be operationalized differently. The regulatory sources are real, but the prototype remains a classroom demonstration using synthetic data. Its purpose is to show how a RegTech system can convert high-level regulatory requirements into configurable monitoring workflows while keeping final legal interpretation with human professionals.</w:t>
      </w:r>
    </w:p>
    <w:p>
      <w:pPr>
        <w:spacing w:after="120" w:line="259" w:lineRule="auto"/>
      </w:pPr>
      <w:r>
        <w:t>The main outputs are Task3_demo.ipynb, synthetic_loan_data.csv, monitoring_results.csv, and jurisdiction_compliance_report.csv. Additional exported figures include a confusion matrix, fairness metrics chart, feature importance chart, and drift monitoring 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