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复用-2.3-程序模块的说明"/>
    <w:p>
      <w:pPr>
        <w:pStyle w:val="Heading1"/>
      </w:pPr>
      <w:r>
        <w:rPr>
          <w:rFonts w:hint="eastAsia"/>
        </w:rPr>
        <w:t xml:space="preserve">复用</w:t>
      </w:r>
      <w:r>
        <w:t xml:space="preserve"> 2.3 </w:t>
      </w:r>
      <w:r>
        <w:rPr>
          <w:rFonts w:hint="eastAsia"/>
        </w:rPr>
        <w:t xml:space="preserve">程序模块的说明</w:t>
      </w:r>
    </w:p>
    <w:p>
      <w:pPr>
        <w:pStyle w:val="FirstParagraph"/>
      </w:pPr>
      <w:r>
        <w:rPr>
          <w:rFonts w:hint="eastAsia"/>
        </w:rPr>
        <w:t xml:space="preserve">本作业是在《2.3</w:t>
      </w:r>
      <w:r>
        <w:t xml:space="preserve"> </w:t>
      </w:r>
      <w:r>
        <w:rPr>
          <w:rFonts w:hint="eastAsia"/>
        </w:rPr>
        <w:t xml:space="preserve">系统总体刚度方程》程序设计作业的基础上完成的。2.3</w:t>
      </w:r>
      <w:r>
        <w:t xml:space="preserve"> </w:t>
      </w:r>
      <w:r>
        <w:rPr>
          <w:rFonts w:hint="eastAsia"/>
        </w:rPr>
        <w:t xml:space="preserve">作业负责前处理、单元分析、总体刚度矩阵组装、边界条件处理和基础的后处理；本作业主要替换其中的“方程求解”模块，并新增误差分析、大规模稀疏求解器调用以及</w:t>
      </w:r>
      <w:r>
        <w:t xml:space="preserve"> Poisson </w:t>
      </w:r>
      <w:r>
        <w:rPr>
          <w:rFonts w:hint="eastAsia"/>
        </w:rPr>
        <w:t xml:space="preserve">方程算例。</w:t>
      </w:r>
    </w:p>
    <w:bookmarkStart w:id="18" w:name="一复用的模块来自-2.3-作业"/>
    <w:p>
      <w:pPr>
        <w:pStyle w:val="Heading2"/>
      </w:pPr>
      <w:r>
        <w:rPr>
          <w:rFonts w:hint="eastAsia"/>
        </w:rPr>
        <w:t xml:space="preserve">一、复用的模块（来自</w:t>
      </w:r>
      <w:r>
        <w:t xml:space="preserve"> 2.3 </w:t>
      </w:r>
      <w:r>
        <w:rPr>
          <w:rFonts w:hint="eastAsia"/>
        </w:rPr>
        <w:t xml:space="preserve">作业）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2457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函数/类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</w:t>
            </w:r>
            <w:r>
              <w:t xml:space="preserve"> JSON </w:t>
            </w:r>
            <w:r>
              <w:rPr>
                <w:rFonts w:hint="eastAsia"/>
              </w:rPr>
              <w:t xml:space="preserve">模型数据，存储节点坐标、单元连接、材料属性、边界条件和载荷。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element.py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element_ke()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计算一维杆或二维桁架单元的单元刚度矩阵。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assembly.py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Assembly._build_LM()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</w:t>
            </w:r>
            <w:r>
              <w:t xml:space="preserve"> IEN </w:t>
            </w:r>
            <w:r>
              <w:rPr>
                <w:rFonts w:hint="eastAsia"/>
              </w:rPr>
              <w:t xml:space="preserve">和</w:t>
            </w:r>
            <w:r>
              <w:t xml:space="preserve"> ndof </w:t>
            </w:r>
            <w:r>
              <w:rPr>
                <w:rFonts w:hint="eastAsia"/>
              </w:rPr>
              <w:t xml:space="preserve">生成对号矩阵</w:t>
            </w:r>
            <w:r>
              <w:t xml:space="preserve"> LM。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assembly.py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Assembly.assemble()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直接组装总体刚度矩阵</w:t>
            </w:r>
            <w:r>
              <w:t xml:space="preserve"> K </w:t>
            </w:r>
            <w:r>
              <w:rPr>
                <w:rFonts w:hint="eastAsia"/>
              </w:rPr>
              <w:t xml:space="preserve">和力向量</w:t>
            </w:r>
            <w:r>
              <w:t xml:space="preserve"> F。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postprocess.py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PostProcessor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根据全局位移计算单元长度、方向余弦、应力和轴力，并输出结果。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这些模块在本作业中未作修改，直接通过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rPr>
          <w:rFonts w:hint="eastAsia"/>
        </w:rPr>
        <w:t xml:space="preserve">方式复用。以算例0（2.3</w:t>
      </w:r>
      <w:r>
        <w:t xml:space="preserve"> </w:t>
      </w:r>
      <w:r>
        <w:rPr>
          <w:rFonts w:hint="eastAsia"/>
        </w:rPr>
        <w:t xml:space="preserve">桁架模型）为例，缩减方程</w:t>
      </w:r>
      <w: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和右端项</w:t>
      </w:r>
      <w:r>
        <w:t xml:space="preserve"> </w:t>
      </w:r>
      <m:oMath>
        <m:r>
          <m:rPr>
            <m:nor/>
            <m:sty m:val="p"/>
          </m:rPr>
          <m:t>rhs</m:t>
        </m:r>
      </m:oMath>
      <w:r>
        <w:t xml:space="preserve"> </w:t>
      </w:r>
      <w:r>
        <w:rPr>
          <w:rFonts w:hint="eastAsia"/>
        </w:rPr>
        <w:t xml:space="preserve">均由上述模块生成后传递给本作业的求解器。</w:t>
      </w:r>
    </w:p>
    <w:bookmarkEnd w:id="18"/>
    <w:bookmarkStart w:id="19" w:name="二本作业新增替换的模块"/>
    <w:p>
      <w:pPr>
        <w:pStyle w:val="Heading2"/>
      </w:pPr>
      <w:r>
        <w:rPr>
          <w:rFonts w:hint="eastAsia"/>
        </w:rPr>
        <w:t xml:space="preserve">二、本作业新增/替换的模块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函数/类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ldlt.py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ldlt_factor()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ldlt_solve()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新增</w:t>
            </w:r>
            <w:r>
              <w:rPr>
                <w:rFonts w:hint="eastAsia"/>
              </w:rPr>
              <w:t xml:space="preserve">：自行实现的</w:t>
            </w:r>
            <w:r>
              <w:t xml:space="preserve"> LDL</w:t>
            </w:r>
            <m:oMath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分解与求解（替换</w:t>
            </w:r>
            <w:r>
              <w:t xml:space="preserve"> 2.3 </w:t>
            </w:r>
            <w:r>
              <w:rPr>
                <w:rFonts w:hint="eastAsia"/>
              </w:rPr>
              <w:t xml:space="preserve">中简单的</w:t>
            </w:r>
            <w:r>
              <w:t xml:space="preserve"> </w:t>
            </w:r>
            <w:r>
              <w:rPr>
                <w:rStyle w:val="VerbatimChar"/>
              </w:rPr>
              <w:t xml:space="preserve">np.linalg.solve</w:t>
            </w:r>
            <w:r>
              <w:rPr>
                <w:rFonts w:hint="eastAsia"/>
              </w:rPr>
              <w:t xml:space="preserve">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solver_interface.py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solve_ldlt()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solve_sparse()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新增</w:t>
            </w:r>
            <w:r>
              <w:rPr>
                <w:rFonts w:hint="eastAsia"/>
              </w:rPr>
              <w:t xml:space="preserve">：统一求解接口，支持</w:t>
            </w:r>
            <w:r>
              <w:t xml:space="preserve"> LDL</w:t>
            </w:r>
            <m:oMath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和外部稀疏求解器。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residual_norm()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condition_number()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timer()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新增</w:t>
            </w:r>
            <w:r>
              <w:rPr>
                <w:rFonts w:hint="eastAsia"/>
              </w:rPr>
              <w:t xml:space="preserve">：残差计算、条件数、计时工具。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poisson.py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assemble_poisson_q4()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新增</w:t>
            </w:r>
            <w:r>
              <w:rPr>
                <w:rFonts w:hint="eastAsia"/>
              </w:rPr>
              <w:t xml:space="preserve">：Poisson</w:t>
            </w:r>
            <w:r>
              <w:t xml:space="preserve"> </w:t>
            </w:r>
            <w:r>
              <w:rPr>
                <w:rFonts w:hint="eastAsia"/>
              </w:rPr>
              <w:t xml:space="preserve">方程的</w:t>
            </w:r>
            <w:r>
              <w:t xml:space="preserve"> Q4 </w:t>
            </w:r>
            <w:r>
              <w:rPr>
                <w:rFonts w:hint="eastAsia"/>
              </w:rPr>
              <w:t xml:space="preserve">单元有限元装配（用于大规模算例）。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各算例函数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修改</w:t>
            </w:r>
            <w:r>
              <w:rPr>
                <w:rFonts w:hint="eastAsia"/>
              </w:rPr>
              <w:t xml:space="preserve">：原</w:t>
            </w:r>
            <w:r>
              <w:t xml:space="preserve"> 2.3 </w:t>
            </w:r>
            <w:r>
              <w:rPr>
                <w:rFonts w:hint="eastAsia"/>
              </w:rPr>
              <w:t xml:space="preserve">主程序被重写为调用新求解器的测试脚本。</w:t>
            </w:r>
          </w:p>
        </w:tc>
      </w:tr>
    </w:tbl>
    <w:bookmarkEnd w:id="19"/>
    <w:bookmarkStart w:id="20" w:name="三接口衔接方式"/>
    <w:p>
      <w:pPr>
        <w:pStyle w:val="Heading2"/>
      </w:pPr>
      <w:r>
        <w:rPr>
          <w:rFonts w:hint="eastAsia"/>
        </w:rPr>
        <w:t xml:space="preserve">三、接口衔接方式</w:t>
      </w:r>
    </w:p>
    <w:p>
      <w:pPr>
        <w:pStyle w:val="FirstParagraph"/>
      </w:pPr>
      <w:r>
        <w:t xml:space="preserve">2.3 </w:t>
      </w:r>
      <w:r>
        <w:rPr>
          <w:rFonts w:hint="eastAsia"/>
        </w:rPr>
        <w:t xml:space="preserve">作业中的“方程求解”部分原为简单求解缩减方程：</w:t>
      </w:r>
    </w:p>
    <w:p>
      <w:pPr>
        <w:pStyle w:val="BodyText"/>
      </w:pPr>
      <w:r>
        <w:t xml:space="preserve">```python</w:t>
      </w:r>
      <w:r>
        <w:t xml:space="preserve"> </w:t>
      </w:r>
      <w:r>
        <w:t xml:space="preserve">d_F = np.linalg.solve(K_FF, rhs)</w:t>
      </w:r>
    </w:p>
    <w:bookmarkEnd w:id="20"/>
    <w:bookmarkEnd w:id="21"/>
    <w:sectPr w:rsidR="00FC693F" w:rsidRPr="0006063C" w:rsidSect="00034616">
      <w:footerReference r:id="rId9" w:type="default"/>
      <w:pgSz w:h="15840" w:w="12240"/>
      <w:pgMar w:bottom="1440" w:footer="720" w:gutter="0" w:header="720" w:left="1797" w:right="1797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60" w:before="0" w:line="360" w:lineRule="auto"/>
      <w:ind w:firstLine="0" w:left="0" w:right="0"/>
    </w:pPr>
    <w:rPr>
      <w:rFonts w:ascii="SimSun" w:eastAsia="SimSun" w:hAnsi="SimSun"/>
      <w:b w:val="0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ind w:firstLine="0" w:left="0" w:right="0"/>
      <w:outlineLvl w:val="0"/>
    </w:pPr>
    <w:rPr>
      <w:rFonts w:ascii="SimHei" w:asciiTheme="majorHAnsi" w:cstheme="majorBidi" w:eastAsia="SimHei" w:eastAsiaTheme="majorEastAsia" w:hAnsi="SimHei" w:hAnsiTheme="majorHAnsi"/>
      <w:b/>
      <w:bCs/>
      <w:color w:val="4F81BD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ind w:firstLine="0" w:left="0" w:right="0"/>
      <w:outlineLvl w:val="1"/>
    </w:pPr>
    <w:rPr>
      <w:rFonts w:ascii="SimHei" w:asciiTheme="majorHAnsi" w:cstheme="majorBidi" w:eastAsia="SimHei" w:eastAsiaTheme="majorEastAsia" w:hAnsi="SimHei" w:hAnsiTheme="majorHAnsi"/>
      <w:b/>
      <w:bCs/>
      <w:color w:val="4F81BD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ind w:firstLine="0" w:left="0" w:right="0"/>
      <w:outlineLvl w:val="2"/>
    </w:pPr>
    <w:rPr>
      <w:rFonts w:ascii="SimHei" w:asciiTheme="majorHAnsi" w:cstheme="majorBidi" w:eastAsia="SimHei" w:eastAsiaTheme="majorEastAsia" w:hAnsi="SimHei" w:hAnsiTheme="majorHAnsi"/>
      <w:b/>
      <w:bCs/>
      <w:color w:val="4F81BD"/>
      <w:sz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ind w:firstLine="0" w:left="0" w:right="0"/>
      <w:outlineLvl w:val="3"/>
    </w:pPr>
    <w:rPr>
      <w:rFonts w:ascii="SimHei" w:asciiTheme="majorHAnsi" w:cstheme="majorBidi" w:eastAsia="SimHei" w:eastAsiaTheme="majorEastAsia" w:hAnsi="SimHei" w:hAnsiTheme="majorHAnsi"/>
      <w:b/>
      <w:bCs/>
      <w:i/>
      <w:iCs/>
      <w:color w:val="4F81BD"/>
      <w:sz w:val="26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ind w:firstLine="0" w:left="0" w:right="0"/>
      <w:outlineLvl w:val="4"/>
    </w:pPr>
    <w:rPr>
      <w:rFonts w:ascii="SimHei" w:asciiTheme="majorHAnsi" w:cstheme="majorBidi" w:eastAsia="SimHei" w:eastAsiaTheme="majorEastAsia" w:hAnsi="SimHei" w:hAnsiTheme="majorHAnsi"/>
      <w:b/>
      <w:color w:val="4F81BD"/>
      <w:sz w:val="24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ind w:firstLine="0" w:left="0" w:right="0"/>
      <w:outlineLvl w:val="5"/>
    </w:pPr>
    <w:rPr>
      <w:rFonts w:ascii="SimHei" w:asciiTheme="majorHAnsi" w:cstheme="majorBidi" w:eastAsia="SimHei" w:eastAsiaTheme="majorEastAsia" w:hAnsi="SimHei" w:hAnsiTheme="majorHAnsi"/>
      <w:b/>
      <w:i/>
      <w:iCs/>
      <w:color w:val="4F81BD"/>
      <w:sz w:val="24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="SimHei" w:asciiTheme="majorHAnsi" w:cstheme="majorBidi" w:eastAsia="SimHei" w:eastAsiaTheme="majorEastAsia" w:hAnsi="SimHei" w:hAnsiTheme="majorHAnsi"/>
      <w:b/>
      <w:bCs/>
      <w:color w:val="4F81BD"/>
      <w:sz w:val="40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="SimHei" w:asciiTheme="majorHAnsi" w:cstheme="majorBidi" w:eastAsia="SimHei" w:eastAsiaTheme="majorEastAsia" w:hAnsi="SimHei" w:hAnsiTheme="majorHAnsi"/>
      <w:b/>
      <w:bCs/>
      <w:color w:val="4F81BD"/>
      <w:sz w:val="32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="SimHei" w:asciiTheme="majorHAnsi" w:cstheme="majorBidi" w:eastAsia="SimHei" w:eastAsiaTheme="majorEastAsia" w:hAnsi="SimHei" w:hAnsiTheme="majorHAnsi"/>
      <w:b/>
      <w:bCs/>
      <w:color w:val="4F81BD"/>
      <w:sz w:val="28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 w:line="360" w:lineRule="auto"/>
      <w:ind w:firstLine="480" w:left="0" w:right="0"/>
    </w:pPr>
    <w:rPr>
      <w:rFonts w:ascii="SimSun" w:eastAsia="SimSun" w:hAnsi="SimSun"/>
      <w:b w:val="0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="SimHei" w:asciiTheme="majorHAnsi" w:cstheme="majorBidi" w:eastAsia="SimHei" w:eastAsiaTheme="majorEastAsia" w:hAnsi="SimHei" w:hAnsiTheme="majorHAnsi"/>
      <w:b/>
      <w:bCs/>
      <w:i/>
      <w:iCs/>
      <w:color w:val="4F81BD"/>
      <w:sz w:val="26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="SimHei" w:asciiTheme="majorHAnsi" w:cstheme="majorBidi" w:eastAsia="SimHei" w:eastAsiaTheme="majorEastAsia" w:hAnsi="SimHei" w:hAnsiTheme="majorHAnsi"/>
      <w:b/>
      <w:color w:val="4F81BD"/>
      <w:sz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="SimHei" w:asciiTheme="majorHAnsi" w:cstheme="majorBidi" w:eastAsia="SimHei" w:eastAsiaTheme="majorEastAsia" w:hAnsi="SimHei" w:hAnsiTheme="majorHAnsi"/>
      <w:b/>
      <w:i/>
      <w:iCs/>
      <w:color w:val="4F81BD"/>
      <w:sz w:val="24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spacing w:after="160" w:before="0" w:line="360" w:lineRule="auto"/>
      <w:ind w:firstLine="480" w:left="0" w:right="0"/>
    </w:pPr>
    <w:rPr>
      <w:rFonts w:ascii="SimSun" w:eastAsia="SimSun" w:hAnsi="SimSun"/>
      <w:b w:val="0"/>
      <w:color w:val="000000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2026-06-16T03:46:37Z</dcterms:created>
  <dcterms:modified xsi:type="dcterms:W3CDTF">2026-06-16T03:46:37Z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