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Elasticity and revenue</w:t>
      </w:r>
    </w:p>
    <w:p>
      <w:pPr>
        <w:pStyle w:val="Heading1"/>
      </w:pPr>
      <w:r>
        <w:t>1. Price elasticity</w:t>
      </w:r>
    </w:p>
    <w:p>
      <w:r>
        <w:t xml:space="preserve">Price elasticity of demand measures how </w:t>
      </w:r>
      <w:r>
        <w:rPr>
          <w:b/>
        </w:rPr>
        <w:t>strongly</w:t>
      </w:r>
      <w:r>
        <w:t xml:space="preserve"> quantity responds to a change in price. A </w:t>
      </w:r>
      <w:r>
        <w:rPr>
          <w:i/>
          <w:color w:val="C03030"/>
        </w:rPr>
        <w:t>coloured italic</w:t>
      </w:r>
      <w:r>
        <w:t xml:space="preserve"> phrase, a </w:t>
      </w:r>
      <w:r>
        <w:rPr>
          <w:sz w:val="36"/>
        </w:rPr>
        <w:t>big one</w:t>
      </w:r>
      <w:r>
        <w:t xml:space="preserve"> and a </w:t>
      </w:r>
      <w:r>
        <w:rPr>
          <w:rFonts w:ascii="Georgia" w:hAnsi="Georgia"/>
        </w:rPr>
        <w:t>serif</w:t>
      </w:r>
      <w:r>
        <w:t xml:space="preserve"> word. Formula: E = </w:t>
      </w:r>
      <w:r>
        <w:rPr>
          <w:vertAlign w:val="superscript"/>
        </w:rPr>
        <w:t>2</w:t>
      </w:r>
      <w:r>
        <w:t xml:space="preserve"> ok.</w:t>
      </w:r>
    </w:p>
    <w:p>
      <w:pPr>
        <w:pStyle w:val="Heading2"/>
      </w:pPr>
      <w:r>
        <w:t>2. Lists</w:t>
      </w:r>
    </w:p>
    <w:p>
      <w:pPr>
        <w:pStyle w:val="ListBullet"/>
      </w:pPr>
      <w:r>
        <w:t>Elastic goods have many substitutes</w:t>
      </w:r>
    </w:p>
    <w:p>
      <w:pPr>
        <w:pStyle w:val="ListBullet"/>
      </w:pPr>
      <w:r>
        <w:t>Inelastic goods are necessities</w:t>
      </w:r>
    </w:p>
    <w:p>
      <w:pPr>
        <w:pStyle w:val="ListBullet"/>
      </w:pPr>
      <w:r>
        <w:t>Luxuries are elastic</w:t>
      </w:r>
    </w:p>
    <w:p>
      <w:pPr>
        <w:pStyle w:val="ListNumber"/>
      </w:pPr>
      <w:r>
        <w:t>Measure the change in price</w:t>
      </w:r>
    </w:p>
    <w:p>
      <w:pPr>
        <w:pStyle w:val="ListNumber"/>
      </w:pPr>
      <w:r>
        <w:t>Measure the change in quantity</w:t>
      </w:r>
    </w:p>
    <w:p>
      <w:pPr>
        <w:pStyle w:val="ListNumber"/>
      </w:pPr>
      <w:r>
        <w:t>Divide</w:t>
      </w:r>
    </w:p>
    <w:p>
      <w:pPr>
        <w:pStyle w:val="Heading2"/>
      </w:pPr>
      <w:r>
        <w:t>3. A table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Good</w:t>
            </w:r>
          </w:p>
        </w:tc>
        <w:tc>
          <w:tcPr>
            <w:tcW w:type="dxa" w:w="2880"/>
            <w:shd w:val="clear" w:color="auto" w:fill="D9E2F3"/>
          </w:tcPr>
          <w:p>
            <w:r>
              <w:rPr>
                <w:b/>
              </w:rPr>
              <w:t>Elasticity</w:t>
            </w:r>
          </w:p>
        </w:tc>
        <w:tc>
          <w:tcPr>
            <w:tcW w:type="dxa" w:w="2880"/>
            <w:shd w:val="clear" w:color="auto" w:fill="D9E2F3"/>
          </w:tcPr>
          <w:p>
            <w:r>
              <w:rPr>
                <w:b/>
              </w:rPr>
              <w:t>Type</w:t>
            </w:r>
          </w:p>
        </w:tc>
      </w:tr>
      <w:tr>
        <w:tc>
          <w:tcPr>
            <w:tcW w:type="dxa" w:w="2880"/>
          </w:tcPr>
          <w:p>
            <w:r>
              <w:t>Salt</w:t>
            </w:r>
          </w:p>
        </w:tc>
        <w:tc>
          <w:tcPr>
            <w:tcW w:type="dxa" w:w="2880"/>
          </w:tcPr>
          <w:p>
            <w:r>
              <w:t>0.1</w:t>
            </w:r>
          </w:p>
        </w:tc>
        <w:tc>
          <w:tcPr>
            <w:tcW w:type="dxa" w:w="2880"/>
          </w:tcPr>
          <w:p>
            <w:r>
              <w:t>Inelastic</w:t>
            </w:r>
          </w:p>
        </w:tc>
      </w:tr>
      <w:tr>
        <w:tc>
          <w:tcPr>
            <w:tcW w:type="dxa" w:w="2880"/>
          </w:tcPr>
          <w:p>
            <w:r>
              <w:t>Cars</w:t>
            </w:r>
          </w:p>
        </w:tc>
        <w:tc>
          <w:tcPr>
            <w:tcW w:type="dxa" w:w="2880"/>
          </w:tcPr>
          <w:p>
            <w:r>
              <w:t>1.9</w:t>
            </w:r>
          </w:p>
        </w:tc>
        <w:tc>
          <w:tcPr>
            <w:tcW w:type="dxa" w:w="2880"/>
          </w:tcPr>
          <w:p>
            <w:r>
              <w:t>Elastic</w:t>
            </w:r>
          </w:p>
        </w:tc>
      </w:tr>
      <w:tr>
        <w:tc>
          <w:tcPr>
            <w:tcW w:type="dxa" w:w="2880"/>
          </w:tcPr>
          <w:p>
            <w:r>
              <w:t>Holidays</w:t>
            </w:r>
          </w:p>
        </w:tc>
        <w:tc>
          <w:tcPr>
            <w:tcW w:type="dxa" w:w="2880"/>
          </w:tcPr>
          <w:p>
            <w:r>
              <w:t>2.4</w:t>
            </w:r>
          </w:p>
        </w:tc>
        <w:tc>
          <w:tcPr>
            <w:tcW w:type="dxa" w:w="2880"/>
          </w:tcPr>
          <w:p>
            <w:r>
              <w:t>Elastic</w:t>
            </w:r>
          </w:p>
        </w:tc>
      </w:tr>
    </w:tbl>
    <w:p/>
    <w:p>
      <w:r>
        <w:drawing>
          <wp:inline xmlns:a="http://schemas.openxmlformats.org/drawingml/2006/main" xmlns:pic="http://schemas.openxmlformats.org/drawingml/2006/picture">
            <wp:extent cx="2743200" cy="1828800"/>
            <wp:docPr id="1" name="Picture 1"/>
            <wp:cNvGraphicFramePr>
              <a:graphicFrameLocks noChangeAspect="1"/>
            </wp:cNvGraphicFramePr>
            <a:graphic>
              <a:graphicData uri="http://schemas.openxmlformats.org/drawingml/2006/picture">
                <pic:pic>
                  <pic:nvPicPr>
                    <pic:cNvPr id="0" name="pic.png"/>
                    <pic:cNvPicPr/>
                  </pic:nvPicPr>
                  <pic:blipFill>
                    <a:blip r:embed="rId11"/>
                    <a:stretch>
                      <a:fillRect/>
                    </a:stretch>
                  </pic:blipFill>
                  <pic:spPr>
                    <a:xfrm>
                      <a:off x="0" y="0"/>
                      <a:ext cx="2743200" cy="1828800"/>
                    </a:xfrm>
                    <a:prstGeom prst="rect"/>
                  </pic:spPr>
                </pic:pic>
              </a:graphicData>
            </a:graphic>
          </wp:inline>
        </w:drawing>
      </w:r>
    </w:p>
    <w:p>
      <w:r>
        <w:br w:type="page"/>
      </w:r>
    </w:p>
    <w:p>
      <w:pPr>
        <w:pStyle w:val="Heading1"/>
      </w:pPr>
      <w:r>
        <w:t>4. Second page</w:t>
      </w:r>
    </w:p>
    <w:p>
      <w:r>
        <w:t xml:space="preserve">Text after an explicit page break. Text after an explicit page break. Text after an explicit page break. Text after an explicit page break. Text after an explicit page break. Text after an explicit page break. Text after an explicit page break. Text after an explicit page break. Text after an explicit page break. Text after an explicit page break. Text after an explicit page break. Text after an explicit page break. </w:t>
      </w:r>
    </w:p>
    <w:p>
      <w:pPr>
        <w:jc w:val="center"/>
      </w:pPr>
      <w:r>
        <w:t>Centered paragraph</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Page footer text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Econ 101 - Lecture reader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