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4086D">
      <w:pPr>
        <w:pStyle w:val="3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ExposedPath</w:t>
      </w:r>
    </w:p>
    <w:p w14:paraId="5F809A83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实验与分析协议 v2.1 Pre-Pilot 整合修订版</w:t>
      </w:r>
    </w:p>
    <w:p w14:paraId="488792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从 Measurement Contract、Q0 到 Pilot、Protocol Freeze、N1/G1 与 G2 的执行规范</w:t>
      </w:r>
    </w:p>
    <w:p w14:paraId="4F0B86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依据：研究设计与论文证据框架 v7.0；v1.4.1 已完整吸收；方法链 Raw→S→{A,B}→D/Exposure Signature</w:t>
      </w:r>
    </w:p>
    <w:p w14:paraId="77FBBC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77A0BB91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修订说明：本版完整保留原实验协议的章节、表格和字段迁移附录，并将 v1.4.1 的语义修正逐章归并为正式正文。交付版不再以文字颜色区分新旧内容；后续实质变更必须通过版本号、修订记录和 Git 差异管理。</w:t>
      </w:r>
    </w:p>
    <w:p w14:paraId="2F45F9A5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本协议是当前 Pre-Pilot 执行依据，但不是 Protocol Freeze。它规定 Gate 顺序、数据角色、候选 WMPC、Q0/N1/G1/G2 设计与冻结要求；repeat、overhead、质量门、正式平台和最终矩阵必须由平台资格、OOM/可行域与 Pilot 决定。</w:t>
      </w:r>
    </w:p>
    <w:p w14:paraId="79F222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版本：v2.1　日期：2026 年 9 月 10 日　状态：Pre-Pilot 整合修订版（未冻结 Formal 协议）</w:t>
      </w:r>
    </w:p>
    <w:p w14:paraId="3E8DE6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273AF06D">
      <w:pPr>
        <w:pStyle w:val="167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v1.4.1 整合结论：W(s) 是 synchronization/completion semantics 确定的完整请求内语义前驱集合，包括 sync 入口前已完成成员；valid-empty 不表示前驱已完成；terminal 与 validity 必须基于可验证且唯一的完成证据。</w:t>
      </w:r>
    </w:p>
    <w:p w14:paraId="510120A2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目录</w:t>
      </w:r>
    </w:p>
    <w:p w14:paraId="71E6C8A5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第一章　协议范围、共同采集合同与 Protocol Freeze</w:t>
      </w:r>
    </w:p>
    <w:p>
      <w:pPr>
        <w:pStyle w:val="168"/>
      </w:pPr>
      <w:r>
        <w:rPr>
          <w:color w:val="000000"/>
        </w:rPr>
        <w:t>当前状态：Engineering/Pre-Pilot。Gate0 已通过；Measurement Contract 与 Canonical Raw 尚未完成，Q0、Engineering Pilot、平台资格、Pilot 和 Protocol Freeze 均未通过。历史 trace 只具有 Prototype/Engineering 资格。</w:t>
      </w:r>
    </w:p>
    <w:p>
      <w:pPr>
        <w:pStyle w:val="167"/>
      </w:pPr>
      <w:r>
        <w:rPr>
          <w:color w:val="000000"/>
        </w:rPr>
        <w:t>数据角色固定为 Prototype、Engineering、Pilot、Formal 四类。每类数据携带 run role 与 lineage，复制、重命名或重新分析不能提高证据资格。</w:t>
      </w:r>
    </w:p>
    <w:p w14:paraId="03A32F2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第二章　精确 WMPC、模型、平台与计算栈</w:t>
      </w:r>
    </w:p>
    <w:p w14:paraId="5B04874B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第三章　方法资格测试（Q0）</w:t>
      </w:r>
    </w:p>
    <w:p>
      <w:pPr>
        <w:pStyle w:val="167"/>
      </w:pPr>
      <w:r>
        <w:rPr>
          <w:color w:val="000000"/>
        </w:rPr>
        <w:t>Q0 是方法资格门而不是分数。它同时验证 completion semantics、W(s)、terminal、validity、A/B 与 fail-closed；合成 fixture 通过不能替代目标 Nsight observation stack 上的真实受控 CUDA trace。</w:t>
      </w:r>
    </w:p>
    <w:p w14:paraId="71C52F2E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第四章　同步干预与比较必要性实验（N1）</w:t>
      </w:r>
    </w:p>
    <w:p>
      <w:pPr>
        <w:pStyle w:val="167"/>
      </w:pPr>
      <w:r>
        <w:rPr>
          <w:color w:val="000000"/>
        </w:rPr>
        <w:t>自然逐 Token 同步与 N1 人为同步必须使用不同 variant/callsite 身份。前者是模型侧 Token-ready completion boundary，属于自然 G1；后者是受控干预。Token 文本化、网络与前端不进入两者的核心测量窗口。</w:t>
      </w:r>
    </w:p>
    <w:p w14:paraId="63E5A023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第五章　正式与补充实验组（G1–G7）</w:t>
      </w:r>
    </w:p>
    <w:p>
      <w:pPr>
        <w:pStyle w:val="168"/>
      </w:pPr>
      <w:r>
        <w:rPr>
          <w:color w:val="000000"/>
        </w:rPr>
        <w:t>当前核心只保留 N1/G1/G2：N1 与 G1承担 Information Gain，G2 承担 Decision Gain。G3/G4 是主线完成后的适用边界候选；G5–G7 统一延后，不作为本轮完成条件。</w:t>
      </w:r>
    </w:p>
    <w:p w14:paraId="631A2637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第六章　Baseline、统计质量、输出 Schema 与停止规则</w:t>
      </w:r>
    </w:p>
    <w:p>
      <w:pPr>
        <w:pStyle w:val="167"/>
      </w:pPr>
      <w:r>
        <w:rPr>
          <w:color w:val="000000"/>
        </w:rPr>
        <w:t>本章区分测量语义与运行政策：Raw/S/A/B 的定义由 Measurement Contract 冻结；repeat、overhead、coverage、容差和统计门由 Pilot 形成证据后冻结。二者都不能依据 Formal 结果反向调整。</w:t>
      </w:r>
    </w:p>
    <w:p w14:paraId="27907511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第一章　协议范围、共同采集合同与 Protocol Freeze</w:t>
      </w:r>
    </w:p>
    <w:p w14:paraId="7E0199F2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1.1 数据来源与证据角色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3979"/>
        <w:gridCol w:w="2031"/>
        <w:gridCol w:w="2014"/>
      </w:tblGrid>
      <w:tr w14:paraId="1B84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83D55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证据来源</w:t>
            </w:r>
          </w:p>
        </w:tc>
        <w:tc>
          <w:tcPr>
            <w:tcW w:w="0" w:type="auto"/>
            <w:vAlign w:val="center"/>
          </w:tcPr>
          <w:p w14:paraId="543C52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提供什么</w:t>
            </w:r>
          </w:p>
        </w:tc>
        <w:tc>
          <w:tcPr>
            <w:tcW w:w="0" w:type="auto"/>
            <w:vAlign w:val="center"/>
          </w:tcPr>
          <w:p w14:paraId="4C23CF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不能单独证明什么</w:t>
            </w:r>
          </w:p>
        </w:tc>
        <w:tc>
          <w:tcPr>
            <w:tcW w:w="2014" w:type="dxa"/>
            <w:vAlign w:val="center"/>
          </w:tcPr>
          <w:p w14:paraId="0ACD31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正式用途</w:t>
            </w:r>
          </w:p>
        </w:tc>
      </w:tr>
      <w:tr w14:paraId="6C86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8D92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程序语义与 NVTX</w:t>
            </w:r>
          </w:p>
        </w:tc>
        <w:tc>
          <w:tcPr>
            <w:tcW w:w="0" w:type="auto"/>
            <w:vAlign w:val="center"/>
          </w:tcPr>
          <w:p w14:paraId="09AA5A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request/prefill/decode 边界、人工同步结构、intervention callsite</w:t>
            </w:r>
          </w:p>
        </w:tc>
        <w:tc>
          <w:tcPr>
            <w:tcW w:w="0" w:type="auto"/>
            <w:vAlign w:val="center"/>
          </w:tcPr>
          <w:p w14:paraId="140803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不能直接给出 wait set、terminal 或 CPU 根因</w:t>
            </w:r>
          </w:p>
        </w:tc>
        <w:tc>
          <w:tcPr>
            <w:tcW w:w="2014" w:type="dxa"/>
            <w:vAlign w:val="center"/>
          </w:tcPr>
          <w:p w14:paraId="74FADB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定义窗口和结构 ground truth</w:t>
            </w:r>
          </w:p>
        </w:tc>
      </w:tr>
      <w:tr w14:paraId="2DE8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311B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Pass 0（无 profiler）</w:t>
            </w:r>
          </w:p>
        </w:tc>
        <w:tc>
          <w:tcPr>
            <w:tcW w:w="0" w:type="auto"/>
            <w:vAlign w:val="center"/>
          </w:tcPr>
          <w:p w14:paraId="2C1E55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正式 E2E/phase latency、throughput、干预真实影响</w:t>
            </w:r>
          </w:p>
        </w:tc>
        <w:tc>
          <w:tcPr>
            <w:tcW w:w="0" w:type="auto"/>
            <w:vAlign w:val="center"/>
          </w:tcPr>
          <w:p w14:paraId="213F4B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不能验证 S/B 语义</w:t>
            </w:r>
          </w:p>
        </w:tc>
        <w:tc>
          <w:tcPr>
            <w:tcW w:w="2014" w:type="dxa"/>
            <w:vAlign w:val="center"/>
          </w:tcPr>
          <w:p w14:paraId="0CE05D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主性能结果与 profiler overhead 基线</w:t>
            </w:r>
          </w:p>
        </w:tc>
      </w:tr>
      <w:tr w14:paraId="151C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4C19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Pass 1（Nsys/CUPTI）</w:t>
            </w:r>
          </w:p>
        </w:tc>
        <w:tc>
          <w:tcPr>
            <w:tcW w:w="0" w:type="auto"/>
            <w:vAlign w:val="center"/>
          </w:tcPr>
          <w:p w14:paraId="026536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API、kernel、MemOp、sync、stream/context/correlation 与 NVTX 时间戳</w:t>
            </w:r>
          </w:p>
        </w:tc>
        <w:tc>
          <w:tcPr>
            <w:tcW w:w="0" w:type="auto"/>
            <w:vAlign w:val="center"/>
          </w:tcPr>
          <w:p w14:paraId="0B198C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事件本身不等于可加关键路径</w:t>
            </w:r>
          </w:p>
        </w:tc>
        <w:tc>
          <w:tcPr>
            <w:tcW w:w="2014" w:type="dxa"/>
            <w:vAlign w:val="center"/>
          </w:tcPr>
          <w:p w14:paraId="5DE3D0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Raw→S→A/B 结构分析</w:t>
            </w:r>
          </w:p>
        </w:tc>
      </w:tr>
      <w:tr w14:paraId="42C2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7E0C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独立 oracle</w:t>
            </w:r>
          </w:p>
        </w:tc>
        <w:tc>
          <w:tcPr>
            <w:tcW w:w="0" w:type="auto"/>
            <w:vAlign w:val="center"/>
          </w:tcPr>
          <w:p w14:paraId="1120ED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由微基准结构和独立时间区间脚本生成 expected wait set、terminal、hidden/overlap/tail</w:t>
            </w:r>
          </w:p>
        </w:tc>
        <w:tc>
          <w:tcPr>
            <w:tcW w:w="0" w:type="auto"/>
            <w:vAlign w:val="center"/>
          </w:tcPr>
          <w:p w14:paraId="7BDBDB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不能复用正式 analyzer 的分类函数</w:t>
            </w:r>
          </w:p>
        </w:tc>
        <w:tc>
          <w:tcPr>
            <w:tcW w:w="2014" w:type="dxa"/>
            <w:vAlign w:val="center"/>
          </w:tcPr>
          <w:p w14:paraId="79CBDD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语义正确性基准</w:t>
            </w:r>
          </w:p>
        </w:tc>
      </w:tr>
      <w:tr w14:paraId="0673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1" w:type="dxa"/>
            <w:vAlign w:val="center"/>
          </w:tcPr>
          <w:p w14:paraId="5CEE95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Nsight Compute 辅助 Pass</w:t>
            </w:r>
          </w:p>
        </w:tc>
        <w:tc>
          <w:tcPr>
            <w:tcW w:w="3979" w:type="dxa"/>
            <w:vAlign w:val="center"/>
          </w:tcPr>
          <w:p w14:paraId="0A5834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代表 sentinel 的 SM/DRAM/kernel/stall 证据</w:t>
            </w:r>
          </w:p>
        </w:tc>
        <w:tc>
          <w:tcPr>
            <w:tcW w:w="2031" w:type="dxa"/>
            <w:vAlign w:val="center"/>
          </w:tcPr>
          <w:p w14:paraId="391DBC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不能替代 request-wall-clock accounting</w:t>
            </w:r>
          </w:p>
        </w:tc>
        <w:tc>
          <w:tcPr>
            <w:tcW w:w="2014" w:type="dxa"/>
            <w:vAlign w:val="center"/>
          </w:tcPr>
          <w:p w14:paraId="1E7326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G1 设备侧机制审计</w:t>
            </w:r>
          </w:p>
        </w:tc>
      </w:tr>
      <w:tr>
        <w:tc>
          <w:tcPr>
            <w:tcW w:type="dxa" w:w="1881"/>
          </w:tcPr>
          <w:p>
            <w:r>
              <w:rPr/>
              <w:t>历史 Prototype/Engineering trace</w:t>
            </w:r>
          </w:p>
        </w:tc>
        <w:tc>
          <w:tcPr>
            <w:tcW w:type="dxa" w:w="3979"/>
          </w:tcPr>
          <w:p>
            <w:r>
              <w:rPr/>
              <w:t>旧实现回归、schema 探查和失败线索</w:t>
            </w:r>
          </w:p>
        </w:tc>
        <w:tc>
          <w:tcPr>
            <w:tcW w:type="dxa" w:w="2031"/>
          </w:tcPr>
          <w:p>
            <w:r>
              <w:rPr/>
              <w:t>不能证明当前 W(s)、terminal、A/B 或论文结论</w:t>
            </w:r>
          </w:p>
        </w:tc>
        <w:tc>
          <w:tcPr>
            <w:tcW w:type="dxa" w:w="2014"/>
          </w:tcPr>
          <w:p>
            <w:r>
              <w:rPr/>
              <w:t>不进入 Q0、Pilot 或 Formal</w:t>
            </w:r>
          </w:p>
        </w:tc>
      </w:tr>
    </w:tbl>
    <w:p w14:paraId="4C4037D8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1.2 所有正式 WMPC 的 Pass 0 / Pass 1 共同合同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3183"/>
        <w:gridCol w:w="2790"/>
        <w:gridCol w:w="2695"/>
      </w:tblGrid>
      <w:tr w14:paraId="1738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>
            <w:r>
              <w:rPr/>
              <w:t>项目</w:t>
            </w:r>
          </w:p>
        </w:tc>
        <w:tc>
          <w:tcPr>
            <w:tcW w:w="0" w:type="auto"/>
            <w:vAlign w:val="center"/>
          </w:tcPr>
          <w:p>
            <w:r>
              <w:rPr/>
              <w:t>Pass0</w:t>
            </w:r>
          </w:p>
        </w:tc>
        <w:tc>
          <w:tcPr>
            <w:tcW w:w="0" w:type="auto"/>
            <w:vAlign w:val="center"/>
          </w:tcPr>
          <w:p>
            <w:r>
              <w:rPr/>
              <w:t>Pass1</w:t>
            </w:r>
          </w:p>
        </w:tc>
        <w:tc>
          <w:tcPr>
            <w:tcW w:w="2695" w:type="dxa"/>
            <w:vAlign w:val="center"/>
          </w:tcPr>
          <w:p>
            <w:r>
              <w:rPr/>
              <w:t>Pre-Pilot/冻结要求</w:t>
            </w:r>
          </w:p>
        </w:tc>
      </w:tr>
      <w:tr w14:paraId="6507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初始化与 warmup</w:t>
            </w:r>
          </w:p>
        </w:tc>
        <w:tc>
          <w:tcPr>
            <w:tcW w:w="0" w:type="auto"/>
            <w:vAlign w:val="center"/>
          </w:tcPr>
          <w:p>
            <w:r>
              <w:rPr/>
              <w:t>使用与 Pass1 相同的候选策略</w:t>
            </w:r>
          </w:p>
        </w:tc>
        <w:tc>
          <w:tcPr>
            <w:tcW w:w="0" w:type="auto"/>
            <w:vAlign w:val="center"/>
          </w:tcPr>
          <w:p>
            <w:r>
              <w:rPr/>
              <w:t>含必要 compile/capture；策略与 Pass0 对齐</w:t>
            </w:r>
          </w:p>
        </w:tc>
        <w:tc>
          <w:tcPr>
            <w:tcW w:w="2695" w:type="dxa"/>
            <w:vAlign w:val="center"/>
          </w:tcPr>
          <w:p>
            <w:r>
              <w:rPr/>
              <w:t>编译、capture、缓存建立不进入计时；warmup 数由 Pilot 冻结</w:t>
            </w:r>
          </w:p>
        </w:tc>
      </w:tr>
      <w:tr w14:paraId="3E1E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repeats</w:t>
            </w:r>
          </w:p>
        </w:tc>
        <w:tc>
          <w:tcPr>
            <w:tcW w:w="0" w:type="auto"/>
            <w:vAlign w:val="center"/>
          </w:tcPr>
          <w:p>
            <w:r>
              <w:rPr/>
              <w:t>按 Pilot 结果确定</w:t>
            </w:r>
          </w:p>
        </w:tc>
        <w:tc>
          <w:tcPr>
            <w:tcW w:w="0" w:type="auto"/>
            <w:vAlign w:val="center"/>
          </w:tcPr>
          <w:p>
            <w:r>
              <w:rPr/>
              <w:t>与同一 WMPC 的 Pass0 配对</w:t>
            </w:r>
          </w:p>
        </w:tc>
        <w:tc>
          <w:tcPr>
            <w:tcW w:w="2695" w:type="dxa"/>
            <w:vAlign w:val="center"/>
          </w:tcPr>
          <w:p>
            <w:r>
              <w:rPr/>
              <w:t>不因显著性追加；repeat 数在 Formal 前冻结</w:t>
            </w:r>
          </w:p>
        </w:tc>
      </w:tr>
      <w:tr w14:paraId="24FC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主输出</w:t>
            </w:r>
          </w:p>
        </w:tc>
        <w:tc>
          <w:tcPr>
            <w:tcW w:w="0" w:type="auto"/>
            <w:vAlign w:val="center"/>
          </w:tcPr>
          <w:p>
            <w:r>
              <w:rPr/>
              <w:t>request/prefill/decode latency、ratio-of-sums throughput</w:t>
            </w:r>
          </w:p>
        </w:tc>
        <w:tc>
          <w:tcPr>
            <w:tcW w:w="0" w:type="auto"/>
            <w:vAlign w:val="center"/>
          </w:tcPr>
          <w:p>
            <w:r>
              <w:rPr/>
              <w:t>Raw/S/A/B/D/Signature、coverage、validity、baseline</w:t>
            </w:r>
          </w:p>
        </w:tc>
        <w:tc>
          <w:tcPr>
            <w:tcW w:w="2695" w:type="dxa"/>
            <w:vAlign w:val="center"/>
          </w:tcPr>
          <w:p>
            <w:r>
              <w:rPr/>
              <w:t>Pass1 latency 不替代 Pass0 主性能</w:t>
            </w:r>
          </w:p>
        </w:tc>
      </w:tr>
      <w:tr w14:paraId="19DF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Profiler overhead</w:t>
            </w:r>
          </w:p>
        </w:tc>
        <w:tc>
          <w:tcPr>
            <w:tcW w:w="0" w:type="auto"/>
            <w:vAlign w:val="center"/>
          </w:tcPr>
          <w:p>
            <w:r>
              <w:rPr/>
              <w:t>性能基准</w:t>
            </w:r>
          </w:p>
        </w:tc>
        <w:tc>
          <w:tcPr>
            <w:tcW w:w="0" w:type="auto"/>
            <w:vAlign w:val="center"/>
          </w:tcPr>
          <w:p>
            <w:r>
              <w:rPr/>
              <w:t>与 Pass0 同口径比较</w:t>
            </w:r>
          </w:p>
        </w:tc>
        <w:tc>
          <w:tcPr>
            <w:tcW w:w="2695" w:type="dxa"/>
            <w:vAlign w:val="center"/>
          </w:tcPr>
          <w:p>
            <w:r>
              <w:rPr/>
              <w:t>目标、硬门和处理政策由 Pilot 的噪声/成本证据冻结</w:t>
            </w:r>
          </w:p>
        </w:tc>
      </w:tr>
      <w:tr w14:paraId="09D1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7" w:type="dxa"/>
            <w:vAlign w:val="center"/>
          </w:tcPr>
          <w:p>
            <w:r>
              <w:rPr/>
              <w:t>失败重跑</w:t>
            </w:r>
          </w:p>
        </w:tc>
        <w:tc>
          <w:tcPr>
            <w:tcW w:w="3183" w:type="dxa"/>
            <w:vAlign w:val="center"/>
          </w:tcPr>
          <w:p>
            <w:r>
              <w:rPr/>
              <w:t>仅预定义质量失败或整块环境异常</w:t>
            </w:r>
          </w:p>
        </w:tc>
        <w:tc>
          <w:tcPr>
            <w:tcW w:w="2790" w:type="dxa"/>
            <w:vAlign w:val="center"/>
          </w:tcPr>
          <w:p>
            <w:r>
              <w:rPr/>
              <w:t>同左</w:t>
            </w:r>
          </w:p>
        </w:tc>
        <w:tc>
          <w:tcPr>
            <w:tcW w:w="2695" w:type="dxa"/>
            <w:vAlign w:val="center"/>
          </w:tcPr>
          <w:p>
            <w:r>
              <w:rPr/>
              <w:t>按 block 执行，记录 attempt、原因与排除</w:t>
            </w:r>
          </w:p>
        </w:tc>
      </w:tr>
    </w:tbl>
    <w:p w14:paraId="5A3ECDF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1.3 Manifest、环境冻结与数据目录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8457"/>
      </w:tblGrid>
      <w:tr w14:paraId="78B0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8" w:type="dxa"/>
            <w:vAlign w:val="center"/>
          </w:tcPr>
          <w:p w14:paraId="3D2E7B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类别</w:t>
            </w:r>
          </w:p>
        </w:tc>
        <w:tc>
          <w:tcPr>
            <w:tcW w:w="8457" w:type="dxa"/>
            <w:vAlign w:val="center"/>
          </w:tcPr>
          <w:p w14:paraId="7568BE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必须记录的内容</w:t>
            </w:r>
          </w:p>
        </w:tc>
      </w:tr>
      <w:tr w14:paraId="0BC8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1EC55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代码与模型</w:t>
            </w:r>
          </w:p>
        </w:tc>
        <w:tc>
          <w:tcPr>
            <w:tcW w:w="8457" w:type="dxa"/>
            <w:vAlign w:val="center"/>
          </w:tcPr>
          <w:p w14:paraId="793CCA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runner_git_commit、analyzer_git_commit、dirty=false、model revision、tokenizer、input_ids hash</w:t>
            </w:r>
          </w:p>
        </w:tc>
      </w:tr>
      <w:tr w14:paraId="2DAF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102C83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软件栈</w:t>
            </w:r>
          </w:p>
        </w:tc>
        <w:tc>
          <w:tcPr>
            <w:tcW w:w="8457" w:type="dxa"/>
            <w:vAlign w:val="center"/>
          </w:tcPr>
          <w:p w14:paraId="592972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driver、CUDA、PyTorch/Transformers/llama.cpp commit、attention/fused backend、execution mode</w:t>
            </w:r>
          </w:p>
        </w:tc>
      </w:tr>
      <w:tr w14:paraId="5093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D916F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平台</w:t>
            </w:r>
          </w:p>
        </w:tc>
        <w:tc>
          <w:tcPr>
            <w:tcW w:w="8457" w:type="dxa"/>
            <w:vAlign w:val="center"/>
          </w:tcPr>
          <w:p w14:paraId="0B44ED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platform_snapshot：CPU、内存、GPU UUID/PCI bus、PCIe link、NUMA topology、power limit、clock/temperature</w:t>
            </w:r>
          </w:p>
        </w:tc>
      </w:tr>
      <w:tr w14:paraId="2480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3140C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执行策略</w:t>
            </w:r>
          </w:p>
        </w:tc>
        <w:tc>
          <w:tcPr>
            <w:tcW w:w="8457" w:type="dxa"/>
            <w:vAlign w:val="center"/>
          </w:tcPr>
          <w:p w14:paraId="3C074B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CPU affinity、NUMA binding、OMP/framework threads、GPU power/persistence、无外部 CUDA workload</w:t>
            </w:r>
          </w:p>
        </w:tc>
      </w:tr>
      <w:tr w14:paraId="4B37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874A2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协议版本</w:t>
            </w:r>
          </w:p>
        </w:tc>
        <w:tc>
          <w:tcPr>
            <w:tcW w:w="8457" w:type="dxa"/>
            <w:vAlign w:val="center"/>
          </w:tcPr>
          <w:p w14:paraId="1A61D5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sync_semantics_registry、oracle version、API 分类表、schema version、analysis plan tag</w:t>
            </w:r>
          </w:p>
        </w:tc>
      </w:tr>
      <w:tr w14:paraId="4AE3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6B093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目录结构</w:t>
            </w:r>
          </w:p>
        </w:tc>
        <w:tc>
          <w:tcPr>
            <w:tcW w:w="8457" w:type="dxa"/>
            <w:vAlign w:val="center"/>
          </w:tcPr>
          <w:p w14:paraId="1A224C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每个 WMPC 独立保存 manifest、Pass0、Pass1、logs、quality report 和 analyzer output；正式与 Pilot 目录物理隔离</w:t>
            </w:r>
          </w:p>
        </w:tc>
      </w:tr>
    </w:tbl>
    <w:p w14:paraId="2B9AF8FE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1.4 Preflight 与 Pilot 最小集合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3462"/>
        <w:gridCol w:w="5246"/>
      </w:tblGrid>
      <w:tr w14:paraId="074C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29F09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Pilot子集</w:t>
            </w:r>
          </w:p>
        </w:tc>
        <w:tc>
          <w:tcPr>
            <w:tcW w:w="0" w:type="auto"/>
            <w:vAlign w:val="center"/>
          </w:tcPr>
          <w:p w14:paraId="79A3F6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固定WMPC</w:t>
            </w:r>
          </w:p>
        </w:tc>
        <w:tc>
          <w:tcPr>
            <w:tcW w:w="5246" w:type="dxa"/>
            <w:vAlign w:val="center"/>
          </w:tcPr>
          <w:p w14:paraId="6894C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主要检查</w:t>
            </w:r>
          </w:p>
        </w:tc>
      </w:tr>
      <w:tr w14:paraId="4EDC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23A7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P-W 主路径</w:t>
            </w:r>
          </w:p>
        </w:tc>
        <w:tc>
          <w:tcPr>
            <w:tcW w:w="0" w:type="auto"/>
            <w:vAlign w:val="center"/>
          </w:tcPr>
          <w:p w14:paraId="4A8D33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M0、C0；P0/P1；W={S1,S3,S4,S6}</w:t>
            </w:r>
          </w:p>
        </w:tc>
        <w:tc>
          <w:tcPr>
            <w:tcW w:w="5246" w:type="dxa"/>
            <w:vAlign w:val="center"/>
          </w:tcPr>
          <w:p w14:paraId="5CCE07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共同显存可行域、eager trace、A/D 波动、两卡环境一致性</w:t>
            </w:r>
          </w:p>
        </w:tc>
      </w:tr>
      <w:tr w14:paraId="38BE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23B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C1 可行动性</w:t>
            </w:r>
          </w:p>
        </w:tc>
        <w:tc>
          <w:tcPr>
            <w:tcW w:w="0" w:type="auto"/>
            <w:vAlign w:val="center"/>
          </w:tcPr>
          <w:p w14:paraId="6B537A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M0；P0/P1；C1；W={S1,S4,S6}</w:t>
            </w:r>
          </w:p>
        </w:tc>
        <w:tc>
          <w:tcPr>
            <w:tcW w:w="5246" w:type="dxa"/>
            <w:vAlign w:val="center"/>
          </w:tcPr>
          <w:p w14:paraId="54A9D4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compile/capture 稳定、graph break、输出一致性、收益是否超过噪声</w:t>
            </w:r>
          </w:p>
        </w:tc>
      </w:tr>
      <w:tr w14:paraId="170B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B87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M1 可行性</w:t>
            </w:r>
          </w:p>
        </w:tc>
        <w:tc>
          <w:tcPr>
            <w:tcW w:w="0" w:type="auto"/>
            <w:vAlign w:val="center"/>
          </w:tcPr>
          <w:p w14:paraId="213D5B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P1、C0、M1；W={S1,S3,S6}</w:t>
            </w:r>
          </w:p>
        </w:tc>
        <w:tc>
          <w:tcPr>
            <w:tcW w:w="5246" w:type="dxa"/>
            <w:vAlign w:val="center"/>
          </w:tcPr>
          <w:p w14:paraId="4EB2F0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显存、长输入/大 batch、共同可行子集</w:t>
            </w:r>
          </w:p>
        </w:tc>
      </w:tr>
      <w:tr w14:paraId="2A96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1DC2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P2 可行性</w:t>
            </w:r>
          </w:p>
        </w:tc>
        <w:tc>
          <w:tcPr>
            <w:tcW w:w="0" w:type="auto"/>
            <w:vAlign w:val="center"/>
          </w:tcPr>
          <w:p w14:paraId="0D32CB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Msmall、C0、P2；W={S1,S3,S6}</w:t>
            </w:r>
          </w:p>
        </w:tc>
        <w:tc>
          <w:tcPr>
            <w:tcW w:w="5246" w:type="dxa"/>
            <w:vAlign w:val="center"/>
          </w:tcPr>
          <w:p w14:paraId="4FCEC3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外部平台软件栈、精度和 sentinel 可运行性</w:t>
            </w:r>
          </w:p>
        </w:tc>
      </w:tr>
      <w:tr w14:paraId="03574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7" w:type="dxa"/>
            <w:vAlign w:val="center"/>
          </w:tcPr>
          <w:p w14:paraId="4B8A06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Q0/N1 Pilot</w:t>
            </w:r>
          </w:p>
        </w:tc>
        <w:tc>
          <w:tcPr>
            <w:tcW w:w="3462" w:type="dxa"/>
            <w:vAlign w:val="center"/>
          </w:tcPr>
          <w:p w14:paraId="5E4949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核心微基准；N1 先跑 V0/Vmarker/V16</w:t>
            </w:r>
          </w:p>
        </w:tc>
        <w:tc>
          <w:tcPr>
            <w:tcW w:w="5246" w:type="dxa"/>
            <w:vAlign w:val="center"/>
          </w:tcPr>
          <w:p w14:paraId="057BDE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oracle 链、sync 插入位置、输出一致性、是否存在非平凡等待迁移</w:t>
            </w:r>
          </w:p>
        </w:tc>
      </w:tr>
    </w:tbl>
    <w:p w14:paraId="76B3782D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1.5 Protocol Freeze、补采与版本规则</w:t>
      </w:r>
    </w:p>
    <w:p w14:paraId="5EDA96D3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Protocol Freeze 前必须由证据确定并冻结：Measurement Contract、Q0 cases/oracle、Canonical Raw 与 analyzer 版本、目标平台、共同可行 WMPC、sentinel、repeat、Pass、quality gates、N1 variants、G2 规则、统计脚本和图表映射。</w:t>
      </w:r>
    </w:p>
    <w:p w14:paraId="0DAF38CC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正式主矩阵开始后，不得因某一条件 D 的 CI 跨 0、G2 speedup 不显著或结果不符合预期而单点补采；只有数据质量失败、协议规定的整块异常或版本迁移才允许按 block 重跑。</w:t>
      </w:r>
    </w:p>
    <w:p w14:paraId="1F4E8952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冻结后的 runner/analyzer/registry/oracle、measurement、样本选择或统计规则发生实质变化时，必须生成新协议版本，并使受影响的 Formal 数据失效；Prototype、Engineering 或 Pilot 数据不能通过重命名升级。</w:t>
      </w:r>
    </w:p>
    <w:p w14:paraId="5F47FDD3">
      <w:pPr>
        <w:pStyle w:val="4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1.6 从 Measurement Contract 到最终 Protocol Freeze</w:t>
      </w:r>
    </w:p>
    <w:p w14:paraId="062208D4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版本流程冻结为：Semantic Freeze Candidate（定义与拒绝规则）→ Q0/Preflight/Pilot（验证 trace 可实现性与估计数值质量门）→ sync_semantics_registry v1.0 + Protocol Freeze → 重新采集正式数据。Pilot 数据与正式目录物理隔离。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5540"/>
        <w:gridCol w:w="3008"/>
      </w:tblGrid>
      <w:tr w14:paraId="715E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阶段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必须完成</w:t>
            </w:r>
          </w:p>
        </w:tc>
        <w:tc>
          <w:tcPr>
            <w:tcW w:w="3008" w:type="dxa"/>
            <w:shd w:val="clear" w:color="auto" w:fill="DDEBF7"/>
            <w:vAlign w:val="center"/>
          </w:tcPr>
          <w:p>
            <w:r>
              <w:rPr/>
              <w:t>本阶段不得做</w:t>
            </w:r>
          </w:p>
        </w:tc>
      </w:tr>
      <w:tr w14:paraId="6E7B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Gate 0</w:t>
            </w:r>
          </w:p>
        </w:tc>
        <w:tc>
          <w:tcPr>
            <w:tcW w:w="0" w:type="auto"/>
            <w:vAlign w:val="center"/>
          </w:tcPr>
          <w:p>
            <w:r>
              <w:rPr/>
              <w:t>封存 Prototype 的提交、trace、环境、输出和限制</w:t>
            </w:r>
          </w:p>
        </w:tc>
        <w:tc>
          <w:tcPr>
            <w:tcW w:w="3008" w:type="dxa"/>
            <w:vAlign w:val="center"/>
          </w:tcPr>
          <w:p>
            <w:r>
              <w:rPr/>
              <w:t>不得升级为当前方法证据</w:t>
            </w:r>
          </w:p>
        </w:tc>
      </w:tr>
      <w:tr w14:paraId="43A7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Gate 1</w:t>
            </w:r>
          </w:p>
        </w:tc>
        <w:tc>
          <w:tcPr>
            <w:tcW w:w="0" w:type="auto"/>
            <w:vAlign w:val="center"/>
          </w:tcPr>
          <w:p>
            <w:r>
              <w:rPr/>
              <w:t>Measurement Contract：phase、sync、W(s)、terminal、validity、A/B/D/Signature</w:t>
            </w:r>
          </w:p>
        </w:tc>
        <w:tc>
          <w:tcPr>
            <w:tcW w:w="3008" w:type="dxa"/>
            <w:vAlign w:val="center"/>
          </w:tcPr>
          <w:p>
            <w:r>
              <w:rPr/>
              <w:t>不得用实现默认值替代未决语义</w:t>
            </w:r>
          </w:p>
        </w:tc>
      </w:tr>
      <w:tr w14:paraId="76A9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vAlign w:val="center"/>
          </w:tcPr>
          <w:p>
            <w:r>
              <w:rPr/>
              <w:t>Gate 2</w:t>
            </w:r>
          </w:p>
        </w:tc>
        <w:tc>
          <w:tcPr>
            <w:tcW w:w="5540" w:type="dxa"/>
            <w:vAlign w:val="center"/>
          </w:tcPr>
          <w:p>
            <w:r>
              <w:rPr/>
              <w:t>Q0 独立 oracle 与必需正/负/含糊案例</w:t>
            </w:r>
          </w:p>
        </w:tc>
        <w:tc>
          <w:tcPr>
            <w:tcW w:w="3008" w:type="dxa"/>
            <w:vAlign w:val="center"/>
          </w:tcPr>
          <w:p>
            <w:r>
              <w:rPr/>
              <w:t>不得复用 analyzer 生成 expected</w:t>
            </w:r>
          </w:p>
        </w:tc>
      </w:tr>
      <w:tr>
        <w:tc>
          <w:tcPr>
            <w:tcW w:type="dxa" w:w="1357"/>
          </w:tcPr>
          <w:p>
            <w:r>
              <w:rPr/>
              <w:t>Gate 3</w:t>
            </w:r>
          </w:p>
        </w:tc>
        <w:tc>
          <w:tcPr>
            <w:tcW w:type="dxa" w:w="5540"/>
          </w:tcPr>
          <w:p>
            <w:r>
              <w:rPr/>
              <w:t>Canonical Raw schema、identity、lineage 与 fail-closed 转换</w:t>
            </w:r>
          </w:p>
        </w:tc>
        <w:tc>
          <w:tcPr>
            <w:tcW w:type="dxa" w:w="3008"/>
          </w:tcPr>
          <w:p>
            <w:r>
              <w:rPr/>
              <w:t>下游不得继续各自查询 Nsight 表</w:t>
            </w:r>
          </w:p>
        </w:tc>
      </w:tr>
      <w:tr>
        <w:tc>
          <w:tcPr>
            <w:tcW w:type="dxa" w:w="1357"/>
          </w:tcPr>
          <w:p>
            <w:r>
              <w:rPr/>
              <w:t>Gate 4</w:t>
            </w:r>
          </w:p>
        </w:tc>
        <w:tc>
          <w:tcPr>
            <w:tcW w:type="dxa" w:w="5540"/>
          </w:tcPr>
          <w:p>
            <w:r>
              <w:rPr/>
              <w:t>实现 S 的 completion set、W(s)、terminal、ownership、validity</w:t>
            </w:r>
          </w:p>
        </w:tc>
        <w:tc>
          <w:tcPr>
            <w:tcW w:type="dxa" w:w="3008"/>
          </w:tcPr>
          <w:p>
            <w:r>
              <w:rPr/>
              <w:t>不得把时间重叠当 dependency</w:t>
            </w:r>
          </w:p>
        </w:tc>
      </w:tr>
      <w:tr>
        <w:tc>
          <w:tcPr>
            <w:tcW w:type="dxa" w:w="1357"/>
          </w:tcPr>
          <w:p>
            <w:r>
              <w:rPr/>
              <w:t>Gate 5</w:t>
            </w:r>
          </w:p>
        </w:tc>
        <w:tc>
          <w:tcPr>
            <w:tcW w:type="dxa" w:w="5540"/>
          </w:tcPr>
          <w:p>
            <w:r>
              <w:rPr/>
              <w:t>实现 A/B，再纯派生 D/Exposure Signature</w:t>
            </w:r>
          </w:p>
        </w:tc>
        <w:tc>
          <w:tcPr>
            <w:tcW w:type="dxa" w:w="3008"/>
          </w:tcPr>
          <w:p>
            <w:r>
              <w:rPr/>
              <w:t>不得跨 sync 无规则累加 B</w:t>
            </w:r>
          </w:p>
        </w:tc>
      </w:tr>
      <w:tr>
        <w:tc>
          <w:tcPr>
            <w:tcW w:type="dxa" w:w="1357"/>
          </w:tcPr>
          <w:p>
            <w:r>
              <w:rPr/>
              <w:t>Gate 6</w:t>
            </w:r>
          </w:p>
        </w:tc>
        <w:tc>
          <w:tcPr>
            <w:tcW w:type="dxa" w:w="5540"/>
          </w:tcPr>
          <w:p>
            <w:r>
              <w:rPr/>
              <w:t>合成与真实 CUDA/Nsight Q0 对独立 oracle</w:t>
            </w:r>
          </w:p>
        </w:tc>
        <w:tc>
          <w:tcPr>
            <w:tcW w:type="dxa" w:w="3008"/>
          </w:tcPr>
          <w:p>
            <w:r>
              <w:rPr/>
              <w:t>任一必需 case 失败不得进入 Formal</w:t>
            </w:r>
          </w:p>
        </w:tc>
      </w:tr>
      <w:tr>
        <w:tc>
          <w:tcPr>
            <w:tcW w:type="dxa" w:w="1357"/>
          </w:tcPr>
          <w:p>
            <w:r>
              <w:rPr/>
              <w:t>Gate 7</w:t>
            </w:r>
          </w:p>
        </w:tc>
        <w:tc>
          <w:tcPr>
            <w:tcW w:type="dxa" w:w="5540"/>
          </w:tcPr>
          <w:p>
            <w:r>
              <w:rPr/>
              <w:t>Runner 的 Token/phase、自然/人为同步、Pass0/1 与跨平台合同</w:t>
            </w:r>
          </w:p>
        </w:tc>
        <w:tc>
          <w:tcPr>
            <w:tcW w:type="dxa" w:w="3008"/>
          </w:tcPr>
          <w:p>
            <w:r>
              <w:rPr/>
              <w:t>不得混淆自然 G1 和 N1 干预</w:t>
            </w:r>
          </w:p>
        </w:tc>
      </w:tr>
      <w:tr>
        <w:tc>
          <w:tcPr>
            <w:tcW w:type="dxa" w:w="1357"/>
          </w:tcPr>
          <w:p>
            <w:r>
              <w:rPr/>
              <w:t>Gate 8</w:t>
            </w:r>
          </w:p>
        </w:tc>
        <w:tc>
          <w:tcPr>
            <w:tcW w:type="dxa" w:w="5540"/>
          </w:tcPr>
          <w:p>
            <w:r>
              <w:rPr/>
              <w:t>Engineering Pilot 打通最小端到端链路</w:t>
            </w:r>
          </w:p>
        </w:tc>
        <w:tc>
          <w:tcPr>
            <w:tcW w:type="dxa" w:w="3008"/>
          </w:tcPr>
          <w:p>
            <w:r>
              <w:rPr/>
              <w:t>不得作为科学结论</w:t>
            </w:r>
          </w:p>
        </w:tc>
      </w:tr>
      <w:tr>
        <w:tc>
          <w:tcPr>
            <w:tcW w:type="dxa" w:w="1357"/>
          </w:tcPr>
          <w:p>
            <w:r>
              <w:rPr/>
              <w:t>Gate 9</w:t>
            </w:r>
          </w:p>
        </w:tc>
        <w:tc>
          <w:tcPr>
            <w:tcW w:type="dxa" w:w="5540"/>
          </w:tcPr>
          <w:p>
            <w:r>
              <w:rPr/>
              <w:t>正式平台 observation stack 与 Q0 资格</w:t>
            </w:r>
          </w:p>
        </w:tc>
        <w:tc>
          <w:tcPr>
            <w:tcW w:type="dxa" w:w="3008"/>
          </w:tcPr>
          <w:p>
            <w:r>
              <w:rPr/>
              <w:t>不合格平台不得进入 Formal</w:t>
            </w:r>
          </w:p>
        </w:tc>
      </w:tr>
      <w:tr>
        <w:tc>
          <w:tcPr>
            <w:tcW w:type="dxa" w:w="1357"/>
          </w:tcPr>
          <w:p>
            <w:r>
              <w:rPr/>
              <w:t>Gate 10</w:t>
            </w:r>
          </w:p>
        </w:tc>
        <w:tc>
          <w:tcPr>
            <w:tcW w:type="dxa" w:w="5540"/>
          </w:tcPr>
          <w:p>
            <w:r>
              <w:rPr/>
              <w:t>OOM、early EOS、稳定性与共同可行域</w:t>
            </w:r>
          </w:p>
        </w:tc>
        <w:tc>
          <w:tcPr>
            <w:tcW w:type="dxa" w:w="3008"/>
          </w:tcPr>
          <w:p>
            <w:r>
              <w:rPr/>
              <w:t>OOM 不作为科学意义</w:t>
            </w:r>
          </w:p>
        </w:tc>
      </w:tr>
      <w:tr>
        <w:tc>
          <w:tcPr>
            <w:tcW w:type="dxa" w:w="1357"/>
          </w:tcPr>
          <w:p>
            <w:r>
              <w:rPr/>
              <w:t>Gate 11</w:t>
            </w:r>
          </w:p>
        </w:tc>
        <w:tc>
          <w:tcPr>
            <w:tcW w:type="dxa" w:w="5540"/>
          </w:tcPr>
          <w:p>
            <w:r>
              <w:rPr/>
              <w:t>Pilot 决定 workload、repeat、overhead、质量门</w:t>
            </w:r>
          </w:p>
        </w:tc>
        <w:tc>
          <w:tcPr>
            <w:tcW w:type="dxa" w:w="3008"/>
          </w:tcPr>
          <w:p>
            <w:r>
              <w:rPr/>
              <w:t>不得按结果漂亮程度选择</w:t>
            </w:r>
          </w:p>
        </w:tc>
      </w:tr>
      <w:tr>
        <w:tc>
          <w:tcPr>
            <w:tcW w:type="dxa" w:w="1357"/>
          </w:tcPr>
          <w:p>
            <w:r>
              <w:rPr/>
              <w:t>Gate 12</w:t>
            </w:r>
          </w:p>
        </w:tc>
        <w:tc>
          <w:tcPr>
            <w:tcW w:type="dxa" w:w="5540"/>
          </w:tcPr>
          <w:p>
            <w:r>
              <w:rPr/>
              <w:t>冻结代码、schema、平台、WMPC、统计与 claim 规则</w:t>
            </w:r>
          </w:p>
        </w:tc>
        <w:tc>
          <w:tcPr>
            <w:tcW w:type="dxa" w:w="3008"/>
          </w:tcPr>
          <w:p>
            <w:r>
              <w:rPr/>
              <w:t>冻结后不得静默修改</w:t>
            </w:r>
          </w:p>
        </w:tc>
      </w:tr>
      <w:tr>
        <w:tc>
          <w:tcPr>
            <w:tcW w:type="dxa" w:w="1357"/>
          </w:tcPr>
          <w:p>
            <w:r>
              <w:rPr/>
              <w:t>Gate 13</w:t>
            </w:r>
          </w:p>
        </w:tc>
        <w:tc>
          <w:tcPr>
            <w:tcW w:type="dxa" w:w="5540"/>
          </w:tcPr>
          <w:p>
            <w:r>
              <w:rPr/>
              <w:t>按冻结协议执行 N1 与自然 G1</w:t>
            </w:r>
          </w:p>
        </w:tc>
        <w:tc>
          <w:tcPr>
            <w:tcW w:type="dxa" w:w="3008"/>
          </w:tcPr>
          <w:p>
            <w:r>
              <w:rPr/>
              <w:t>如实报告比例、非比例、区间依赖或 null</w:t>
            </w:r>
          </w:p>
        </w:tc>
      </w:tr>
      <w:tr>
        <w:tc>
          <w:tcPr>
            <w:tcW w:type="dxa" w:w="1357"/>
          </w:tcPr>
          <w:p>
            <w:r>
              <w:rPr/>
              <w:t>Gate 14</w:t>
            </w:r>
          </w:p>
        </w:tc>
        <w:tc>
          <w:tcPr>
            <w:tcW w:type="dxa" w:w="5540"/>
          </w:tcPr>
          <w:p>
            <w:r>
              <w:rPr/>
              <w:t>执行 held-out G2 并决定最终 claim</w:t>
            </w:r>
          </w:p>
        </w:tc>
        <w:tc>
          <w:tcPr>
            <w:tcW w:type="dxa" w:w="3008"/>
          </w:tcPr>
          <w:p>
            <w:r>
              <w:rPr/>
              <w:t>无增量则删除决策优势主张</w:t>
            </w:r>
          </w:p>
        </w:tc>
      </w:tr>
    </w:tbl>
    <w:p w14:paraId="2405EEF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第二章　精确 WMPC、模型、平台与计算栈</w:t>
      </w:r>
    </w:p>
    <w:p w14:paraId="1F307974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WMPC = Workload×Model×Platform×Computing stack。W01–W22、S1–S6、模型、平台与执行栈在本版中均为候选池，只有通过平台资格、OOM/可行域和 Pilot 后才进入 Protocol Freeze。</w:t>
      </w:r>
    </w:p>
    <w:p w14:paraId="1147BC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2.1 工作负载 W：建议使用的 token 与 Batch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195"/>
        <w:gridCol w:w="1389"/>
        <w:gridCol w:w="1080"/>
        <w:gridCol w:w="3569"/>
      </w:tblGrid>
      <w:tr w14:paraId="02E0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72" w:type="dxa"/>
            <w:shd w:val="clear" w:color="auto" w:fill="D9EAF7"/>
            <w:vAlign w:val="center"/>
          </w:tcPr>
          <w:p w14:paraId="015BD1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测试方向</w:t>
            </w:r>
          </w:p>
        </w:tc>
        <w:tc>
          <w:tcPr>
            <w:tcW w:w="2195" w:type="dxa"/>
            <w:shd w:val="clear" w:color="auto" w:fill="D9EAF7"/>
            <w:vAlign w:val="center"/>
          </w:tcPr>
          <w:p w14:paraId="1D0D7B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输入 token</w:t>
            </w:r>
          </w:p>
        </w:tc>
        <w:tc>
          <w:tcPr>
            <w:tcW w:w="1389" w:type="dxa"/>
            <w:shd w:val="clear" w:color="auto" w:fill="D9EAF7"/>
            <w:vAlign w:val="center"/>
          </w:tcPr>
          <w:p w14:paraId="7612A0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输出 token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3A5C9A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Batch</w:t>
            </w:r>
          </w:p>
        </w:tc>
        <w:tc>
          <w:tcPr>
            <w:tcW w:w="3569" w:type="dxa"/>
            <w:shd w:val="clear" w:color="auto" w:fill="D9EAF7"/>
            <w:vAlign w:val="center"/>
          </w:tcPr>
          <w:p w14:paraId="72F537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选择理由</w:t>
            </w:r>
          </w:p>
        </w:tc>
      </w:tr>
      <w:tr w14:paraId="2804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72" w:type="dxa"/>
            <w:vAlign w:val="center"/>
          </w:tcPr>
          <w:p w14:paraId="73CF61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输入长度影响</w:t>
            </w:r>
          </w:p>
        </w:tc>
        <w:tc>
          <w:tcPr>
            <w:tcW w:w="2195" w:type="dxa"/>
            <w:vAlign w:val="center"/>
          </w:tcPr>
          <w:p w14:paraId="2EF151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128、512、2048、4096</w:t>
            </w:r>
          </w:p>
        </w:tc>
        <w:tc>
          <w:tcPr>
            <w:tcW w:w="1389" w:type="dxa"/>
            <w:vAlign w:val="center"/>
          </w:tcPr>
          <w:p w14:paraId="24FB4C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固定 16</w:t>
            </w:r>
          </w:p>
        </w:tc>
        <w:tc>
          <w:tcPr>
            <w:tcW w:w="1080" w:type="dxa"/>
            <w:vAlign w:val="center"/>
          </w:tcPr>
          <w:p w14:paraId="446958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1、2、4</w:t>
            </w:r>
          </w:p>
        </w:tc>
        <w:tc>
          <w:tcPr>
            <w:tcW w:w="3569" w:type="dxa"/>
            <w:vAlign w:val="center"/>
          </w:tcPr>
          <w:p w14:paraId="49F46D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输出很短，主要观察 Prefill；四档覆盖轻、中、长和超长输入。</w:t>
            </w:r>
          </w:p>
        </w:tc>
      </w:tr>
      <w:tr w14:paraId="1732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72" w:type="dxa"/>
            <w:vAlign w:val="center"/>
          </w:tcPr>
          <w:p w14:paraId="19AAC1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输出长度影响</w:t>
            </w:r>
          </w:p>
        </w:tc>
        <w:tc>
          <w:tcPr>
            <w:tcW w:w="2195" w:type="dxa"/>
            <w:vAlign w:val="center"/>
          </w:tcPr>
          <w:p w14:paraId="4A1A6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固定 512</w:t>
            </w:r>
          </w:p>
        </w:tc>
        <w:tc>
          <w:tcPr>
            <w:tcW w:w="1389" w:type="dxa"/>
            <w:vAlign w:val="center"/>
          </w:tcPr>
          <w:p w14:paraId="6F044E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16、64、256</w:t>
            </w:r>
          </w:p>
        </w:tc>
        <w:tc>
          <w:tcPr>
            <w:tcW w:w="1080" w:type="dxa"/>
            <w:vAlign w:val="center"/>
          </w:tcPr>
          <w:p w14:paraId="666D4C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1、2、4</w:t>
            </w:r>
          </w:p>
        </w:tc>
        <w:tc>
          <w:tcPr>
            <w:tcW w:w="3569" w:type="dxa"/>
            <w:vAlign w:val="center"/>
          </w:tcPr>
          <w:p w14:paraId="307847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输入固定为中等长度，主要观察 autoregressive Decode 步数增加。</w:t>
            </w:r>
          </w:p>
        </w:tc>
      </w:tr>
      <w:tr w14:paraId="69F2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72" w:type="dxa"/>
            <w:vAlign w:val="center"/>
          </w:tcPr>
          <w:p w14:paraId="07AEAF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长输入+长输出补点</w:t>
            </w:r>
          </w:p>
        </w:tc>
        <w:tc>
          <w:tcPr>
            <w:tcW w:w="2195" w:type="dxa"/>
            <w:vAlign w:val="center"/>
          </w:tcPr>
          <w:p w14:paraId="4E7D82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128、2048</w:t>
            </w:r>
          </w:p>
        </w:tc>
        <w:tc>
          <w:tcPr>
            <w:tcW w:w="1389" w:type="dxa"/>
            <w:vAlign w:val="center"/>
          </w:tcPr>
          <w:p w14:paraId="156217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固定 256</w:t>
            </w:r>
          </w:p>
        </w:tc>
        <w:tc>
          <w:tcPr>
            <w:tcW w:w="1080" w:type="dxa"/>
            <w:vAlign w:val="center"/>
          </w:tcPr>
          <w:p w14:paraId="641668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1、4</w:t>
            </w:r>
          </w:p>
        </w:tc>
        <w:tc>
          <w:tcPr>
            <w:tcW w:w="3569" w:type="dxa"/>
            <w:vAlign w:val="center"/>
          </w:tcPr>
          <w:p w14:paraId="1763B6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连接两个主切片，检查规律在组合负载中是否仍然成立。</w:t>
            </w:r>
          </w:p>
        </w:tc>
      </w:tr>
    </w:tbl>
    <w:p w14:paraId="282C3A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206F74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/>
          <w:i w:val="0"/>
          <w:color w:val="000000"/>
        </w:rPr>
        <w:t>建议跨实验组复用的六个代表点：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826"/>
        <w:gridCol w:w="819"/>
        <w:gridCol w:w="729"/>
        <w:gridCol w:w="6874"/>
      </w:tblGrid>
      <w:tr w14:paraId="2D48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73DE39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BE34F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输入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6F1C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输出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4A810E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Batch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A2D58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代表含义</w:t>
            </w:r>
          </w:p>
        </w:tc>
      </w:tr>
      <w:tr w14:paraId="6ACA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09713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S1</w:t>
            </w:r>
          </w:p>
        </w:tc>
        <w:tc>
          <w:tcPr>
            <w:tcW w:w="850" w:type="dxa"/>
            <w:vAlign w:val="center"/>
          </w:tcPr>
          <w:p w14:paraId="0017F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128</w:t>
            </w:r>
          </w:p>
        </w:tc>
        <w:tc>
          <w:tcPr>
            <w:tcW w:w="850" w:type="dxa"/>
            <w:vAlign w:val="center"/>
          </w:tcPr>
          <w:p w14:paraId="40453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68D2B6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589B65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最轻请求：固定 Host/API 开销最容易暴露。</w:t>
            </w:r>
          </w:p>
        </w:tc>
      </w:tr>
      <w:tr w14:paraId="40BB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68F05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S2</w:t>
            </w:r>
          </w:p>
        </w:tc>
        <w:tc>
          <w:tcPr>
            <w:tcW w:w="850" w:type="dxa"/>
            <w:vAlign w:val="center"/>
          </w:tcPr>
          <w:p w14:paraId="768CCB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w="850" w:type="dxa"/>
            <w:vAlign w:val="center"/>
          </w:tcPr>
          <w:p w14:paraId="7382B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1185D8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37F51A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中等基线：连接轻负载和长 Prefill。</w:t>
            </w:r>
          </w:p>
        </w:tc>
      </w:tr>
      <w:tr w14:paraId="399E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80" w:type="dxa"/>
            <w:vAlign w:val="center"/>
          </w:tcPr>
          <w:p w14:paraId="11736E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S3</w:t>
            </w:r>
          </w:p>
        </w:tc>
        <w:tc>
          <w:tcPr>
            <w:tcW w:w="850" w:type="dxa"/>
            <w:vAlign w:val="center"/>
          </w:tcPr>
          <w:p w14:paraId="6131CD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2048</w:t>
            </w:r>
          </w:p>
        </w:tc>
        <w:tc>
          <w:tcPr>
            <w:tcW w:w="850" w:type="dxa"/>
            <w:vAlign w:val="center"/>
          </w:tcPr>
          <w:p w14:paraId="7B44EC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1F698A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51D07D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长输入、短输出：Prefill-heavy。</w:t>
            </w:r>
          </w:p>
        </w:tc>
      </w:tr>
      <w:tr w14:paraId="6A1C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810B9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S4</w:t>
            </w:r>
          </w:p>
        </w:tc>
        <w:tc>
          <w:tcPr>
            <w:tcW w:w="850" w:type="dxa"/>
            <w:vAlign w:val="center"/>
          </w:tcPr>
          <w:p w14:paraId="70E74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2048</w:t>
            </w:r>
          </w:p>
        </w:tc>
        <w:tc>
          <w:tcPr>
            <w:tcW w:w="850" w:type="dxa"/>
            <w:vAlign w:val="center"/>
          </w:tcPr>
          <w:p w14:paraId="22B454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216399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7370" w:type="dxa"/>
            <w:vAlign w:val="center"/>
          </w:tcPr>
          <w:p w14:paraId="1DF577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长输入、大 Batch：Prefill+batch-heavy。</w:t>
            </w:r>
          </w:p>
        </w:tc>
      </w:tr>
      <w:tr w14:paraId="49D1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88B1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S5</w:t>
            </w:r>
          </w:p>
        </w:tc>
        <w:tc>
          <w:tcPr>
            <w:tcW w:w="850" w:type="dxa"/>
            <w:vAlign w:val="center"/>
          </w:tcPr>
          <w:p w14:paraId="25FCC9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w="850" w:type="dxa"/>
            <w:vAlign w:val="center"/>
          </w:tcPr>
          <w:p w14:paraId="4C837A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w="737" w:type="dxa"/>
            <w:vAlign w:val="center"/>
          </w:tcPr>
          <w:p w14:paraId="209B02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6DFFE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中等输入、长输出：Decode-heavy。</w:t>
            </w:r>
          </w:p>
        </w:tc>
      </w:tr>
      <w:tr w14:paraId="5284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80" w:type="dxa"/>
            <w:vAlign w:val="center"/>
          </w:tcPr>
          <w:p w14:paraId="1C1EA9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S6</w:t>
            </w:r>
          </w:p>
        </w:tc>
        <w:tc>
          <w:tcPr>
            <w:tcW w:w="850" w:type="dxa"/>
            <w:vAlign w:val="center"/>
          </w:tcPr>
          <w:p w14:paraId="5A9916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w="850" w:type="dxa"/>
            <w:vAlign w:val="center"/>
          </w:tcPr>
          <w:p w14:paraId="10857B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w="737" w:type="dxa"/>
            <w:vAlign w:val="center"/>
          </w:tcPr>
          <w:p w14:paraId="51793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7370" w:type="dxa"/>
            <w:vAlign w:val="center"/>
          </w:tcPr>
          <w:p w14:paraId="0D5A2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长输出、大 Batch：Decode+batch-heavy。</w:t>
            </w:r>
          </w:p>
        </w:tc>
      </w:tr>
    </w:tbl>
    <w:p w14:paraId="15E1C7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43427A7F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W01–W22 是待验证的工作负载候选池；G1 Formal 的最终点集、平台与配对数量由共同可行域和 Pilot 统一确定。G2 与可选边界实验优先复用冻结 sentinel。</w:t>
      </w:r>
    </w:p>
    <w:p w14:paraId="74E18FC5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2.1.1 正式候选 W01–W22 的显式枚举</w:t>
      </w:r>
    </w:p>
    <w:p w14:paraId="0DC2CB49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下表保留由预定义切片去重得到的 22 个候选点。Pilot 只允许依据预先声明的显存、稳定性、数据质量和机制覆盖规则整组调整；不得根据显著性、趋势或结果是否‘好看’挑点。</w:t>
      </w:r>
    </w:p>
    <w:tbl>
      <w:tblPr>
        <w:tblStyle w:val="34"/>
        <w:tblW w:w="98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1838"/>
        <w:gridCol w:w="2052"/>
        <w:gridCol w:w="1052"/>
        <w:gridCol w:w="4019"/>
      </w:tblGrid>
      <w:tr w14:paraId="1F3C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4E80366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WID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1F0AD6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Inputtokens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0F0F542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Outputtokens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4F7DC8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Batch</w:t>
            </w:r>
          </w:p>
        </w:tc>
        <w:tc>
          <w:tcPr>
            <w:tcW w:w="4019" w:type="dxa"/>
            <w:shd w:val="clear" w:color="auto" w:fill="DDEBF7"/>
            <w:vAlign w:val="center"/>
          </w:tcPr>
          <w:p w14:paraId="1E4942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切片/代表点</w:t>
            </w:r>
          </w:p>
        </w:tc>
      </w:tr>
      <w:tr w14:paraId="6FBF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651B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W01</w:t>
            </w:r>
          </w:p>
        </w:tc>
        <w:tc>
          <w:tcPr>
            <w:tcW w:w="0" w:type="auto"/>
            <w:vAlign w:val="center"/>
          </w:tcPr>
          <w:p w14:paraId="4D61EDB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26347C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33C4BA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3005F0F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S1；输入长度切片</w:t>
            </w:r>
          </w:p>
        </w:tc>
      </w:tr>
      <w:tr w14:paraId="37F1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71590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W02</w:t>
            </w:r>
          </w:p>
        </w:tc>
        <w:tc>
          <w:tcPr>
            <w:tcW w:w="0" w:type="auto"/>
            <w:vAlign w:val="center"/>
          </w:tcPr>
          <w:p w14:paraId="54A0F0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5DF4D2B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48C341F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367EEC4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1696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9E7779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W03</w:t>
            </w:r>
          </w:p>
        </w:tc>
        <w:tc>
          <w:tcPr>
            <w:tcW w:w="0" w:type="auto"/>
            <w:vAlign w:val="center"/>
          </w:tcPr>
          <w:p w14:paraId="5FCEE9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6D0E81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4077295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6FA3206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353C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421AE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W04</w:t>
            </w:r>
          </w:p>
        </w:tc>
        <w:tc>
          <w:tcPr>
            <w:tcW w:w="0" w:type="auto"/>
            <w:vAlign w:val="center"/>
          </w:tcPr>
          <w:p w14:paraId="42518D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6230CA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263BFD1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2AAD579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S2；输入长度切片</w:t>
            </w:r>
          </w:p>
        </w:tc>
      </w:tr>
      <w:tr w14:paraId="3D40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EA8A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W05</w:t>
            </w:r>
          </w:p>
        </w:tc>
        <w:tc>
          <w:tcPr>
            <w:tcW w:w="0" w:type="auto"/>
            <w:vAlign w:val="center"/>
          </w:tcPr>
          <w:p w14:paraId="41488A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9C1E1C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37E8584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049D7A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1D6B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EB7C6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W06</w:t>
            </w:r>
          </w:p>
        </w:tc>
        <w:tc>
          <w:tcPr>
            <w:tcW w:w="0" w:type="auto"/>
            <w:vAlign w:val="center"/>
          </w:tcPr>
          <w:p w14:paraId="440752A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6F6C6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3426BC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5B44978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3B54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FEDEA3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W07</w:t>
            </w:r>
          </w:p>
        </w:tc>
        <w:tc>
          <w:tcPr>
            <w:tcW w:w="0" w:type="auto"/>
            <w:vAlign w:val="center"/>
          </w:tcPr>
          <w:p w14:paraId="2D19903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7E1E80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5503AA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76C891E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S3；输入长度切片</w:t>
            </w:r>
          </w:p>
        </w:tc>
      </w:tr>
      <w:tr w14:paraId="5341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96078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W08</w:t>
            </w:r>
          </w:p>
        </w:tc>
        <w:tc>
          <w:tcPr>
            <w:tcW w:w="0" w:type="auto"/>
            <w:vAlign w:val="center"/>
          </w:tcPr>
          <w:p w14:paraId="498226E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227F698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081DB4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0EA86C5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10C2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F8FA6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W09</w:t>
            </w:r>
          </w:p>
        </w:tc>
        <w:tc>
          <w:tcPr>
            <w:tcW w:w="0" w:type="auto"/>
            <w:vAlign w:val="center"/>
          </w:tcPr>
          <w:p w14:paraId="79C0F2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1262BB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109A42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0E54730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S4；输入长度切片</w:t>
            </w:r>
          </w:p>
        </w:tc>
      </w:tr>
      <w:tr w14:paraId="0CAE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F482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W10</w:t>
            </w:r>
          </w:p>
        </w:tc>
        <w:tc>
          <w:tcPr>
            <w:tcW w:w="0" w:type="auto"/>
            <w:vAlign w:val="center"/>
          </w:tcPr>
          <w:p w14:paraId="43F8D08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4096</w:t>
            </w:r>
          </w:p>
        </w:tc>
        <w:tc>
          <w:tcPr>
            <w:tcW w:w="0" w:type="auto"/>
            <w:vAlign w:val="center"/>
          </w:tcPr>
          <w:p w14:paraId="648C3D2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5E04513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2A9875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53DF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6D552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W11</w:t>
            </w:r>
          </w:p>
        </w:tc>
        <w:tc>
          <w:tcPr>
            <w:tcW w:w="0" w:type="auto"/>
            <w:vAlign w:val="center"/>
          </w:tcPr>
          <w:p w14:paraId="3C7A98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4096</w:t>
            </w:r>
          </w:p>
        </w:tc>
        <w:tc>
          <w:tcPr>
            <w:tcW w:w="0" w:type="auto"/>
            <w:vAlign w:val="center"/>
          </w:tcPr>
          <w:p w14:paraId="3DB0A4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0475545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62CE4AE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34FE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E731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W12</w:t>
            </w:r>
          </w:p>
        </w:tc>
        <w:tc>
          <w:tcPr>
            <w:tcW w:w="0" w:type="auto"/>
            <w:vAlign w:val="center"/>
          </w:tcPr>
          <w:p w14:paraId="7C9B22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4096</w:t>
            </w:r>
          </w:p>
        </w:tc>
        <w:tc>
          <w:tcPr>
            <w:tcW w:w="0" w:type="auto"/>
            <w:vAlign w:val="center"/>
          </w:tcPr>
          <w:p w14:paraId="620AAAA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24802E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1F13B0D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输入长度切片；高显存风险</w:t>
            </w:r>
          </w:p>
        </w:tc>
      </w:tr>
      <w:tr w14:paraId="0D04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DD115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W13</w:t>
            </w:r>
          </w:p>
        </w:tc>
        <w:tc>
          <w:tcPr>
            <w:tcW w:w="0" w:type="auto"/>
            <w:vAlign w:val="center"/>
          </w:tcPr>
          <w:p w14:paraId="56A042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D03E03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64</w:t>
            </w:r>
          </w:p>
        </w:tc>
        <w:tc>
          <w:tcPr>
            <w:tcW w:w="0" w:type="auto"/>
            <w:vAlign w:val="center"/>
          </w:tcPr>
          <w:p w14:paraId="54B685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563A8F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79D5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8EAD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W14</w:t>
            </w:r>
          </w:p>
        </w:tc>
        <w:tc>
          <w:tcPr>
            <w:tcW w:w="0" w:type="auto"/>
            <w:vAlign w:val="center"/>
          </w:tcPr>
          <w:p w14:paraId="7D4556A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13A793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64</w:t>
            </w:r>
          </w:p>
        </w:tc>
        <w:tc>
          <w:tcPr>
            <w:tcW w:w="0" w:type="auto"/>
            <w:vAlign w:val="center"/>
          </w:tcPr>
          <w:p w14:paraId="011672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1FCB782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1E09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77F3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W15</w:t>
            </w:r>
          </w:p>
        </w:tc>
        <w:tc>
          <w:tcPr>
            <w:tcW w:w="0" w:type="auto"/>
            <w:vAlign w:val="center"/>
          </w:tcPr>
          <w:p w14:paraId="650EF0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5D9648F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64</w:t>
            </w:r>
          </w:p>
        </w:tc>
        <w:tc>
          <w:tcPr>
            <w:tcW w:w="0" w:type="auto"/>
            <w:vAlign w:val="center"/>
          </w:tcPr>
          <w:p w14:paraId="588AEB6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10001BF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615B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607106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W16</w:t>
            </w:r>
          </w:p>
        </w:tc>
        <w:tc>
          <w:tcPr>
            <w:tcW w:w="0" w:type="auto"/>
            <w:vAlign w:val="center"/>
          </w:tcPr>
          <w:p w14:paraId="633B8E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43CC2A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26DD859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5C426D4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S5；输出长度切片</w:t>
            </w:r>
          </w:p>
        </w:tc>
      </w:tr>
      <w:tr w14:paraId="3C16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85E1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W17</w:t>
            </w:r>
          </w:p>
        </w:tc>
        <w:tc>
          <w:tcPr>
            <w:tcW w:w="0" w:type="auto"/>
            <w:vAlign w:val="center"/>
          </w:tcPr>
          <w:p w14:paraId="77A94E4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EE22F0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1403C63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6BEFD6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0D62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8F3A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W18</w:t>
            </w:r>
          </w:p>
        </w:tc>
        <w:tc>
          <w:tcPr>
            <w:tcW w:w="0" w:type="auto"/>
            <w:vAlign w:val="center"/>
          </w:tcPr>
          <w:p w14:paraId="22BDF0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1AC3608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0CDD9CE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36952B4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S6；输出长度切片</w:t>
            </w:r>
          </w:p>
        </w:tc>
      </w:tr>
      <w:tr w14:paraId="0E5C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7159B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W19</w:t>
            </w:r>
          </w:p>
        </w:tc>
        <w:tc>
          <w:tcPr>
            <w:tcW w:w="0" w:type="auto"/>
            <w:vAlign w:val="center"/>
          </w:tcPr>
          <w:p w14:paraId="6E875C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0C5950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095AD9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691601E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长输出补点</w:t>
            </w:r>
          </w:p>
        </w:tc>
      </w:tr>
      <w:tr w14:paraId="4E8E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28625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W20</w:t>
            </w:r>
          </w:p>
        </w:tc>
        <w:tc>
          <w:tcPr>
            <w:tcW w:w="0" w:type="auto"/>
            <w:vAlign w:val="center"/>
          </w:tcPr>
          <w:p w14:paraId="4F90CD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6778E8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192CDB9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377567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长输出+batch 补点</w:t>
            </w:r>
          </w:p>
        </w:tc>
      </w:tr>
      <w:tr w14:paraId="20D1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9EA0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W21</w:t>
            </w:r>
          </w:p>
        </w:tc>
        <w:tc>
          <w:tcPr>
            <w:tcW w:w="0" w:type="auto"/>
            <w:vAlign w:val="center"/>
          </w:tcPr>
          <w:p w14:paraId="51FA24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1DB6345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681607E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5DD61F7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长输入+长输出补点</w:t>
            </w:r>
          </w:p>
        </w:tc>
      </w:tr>
      <w:tr w14:paraId="3FC1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8" w:type="dxa"/>
            <w:vAlign w:val="center"/>
          </w:tcPr>
          <w:p w14:paraId="6895019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W22</w:t>
            </w:r>
          </w:p>
        </w:tc>
        <w:tc>
          <w:tcPr>
            <w:tcW w:w="1838" w:type="dxa"/>
            <w:vAlign w:val="center"/>
          </w:tcPr>
          <w:p w14:paraId="49BEF92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2052" w:type="dxa"/>
            <w:vAlign w:val="center"/>
          </w:tcPr>
          <w:p w14:paraId="722858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1052" w:type="dxa"/>
            <w:vAlign w:val="center"/>
          </w:tcPr>
          <w:p w14:paraId="08A96CB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0DEE56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长输入+长输出；高显存风险</w:t>
            </w:r>
          </w:p>
        </w:tc>
      </w:tr>
    </w:tbl>
    <w:p w14:paraId="53C48C3A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正式共同可行域判定：若 W12/W22 或其他点在任一核心平台因显存或可重复运行失败，则按 Pilot 前声明的整组规则处理，并在 P0/P1 上采用同一 W 集合；不得仅在单个平台降精度或保留不同 W 集合做核心配对。</w:t>
      </w:r>
    </w:p>
    <w:p w14:paraId="581D1D9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2.2 为什么主模型建议选择 Qwen2.5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6494"/>
      </w:tblGrid>
      <w:tr w14:paraId="0E5E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72" w:type="dxa"/>
            <w:shd w:val="clear" w:color="auto" w:fill="D9EAF7"/>
            <w:vAlign w:val="center"/>
          </w:tcPr>
          <w:p w14:paraId="102B2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理由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CDFEB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对本研究的实际价值</w:t>
            </w:r>
          </w:p>
        </w:tc>
      </w:tr>
      <w:tr w14:paraId="2412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74072A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同一系列有 1.5B、7B、14B 等多个规模</w:t>
            </w:r>
          </w:p>
        </w:tc>
        <w:tc>
          <w:tcPr>
            <w:tcW w:w="6917" w:type="dxa"/>
            <w:vAlign w:val="center"/>
          </w:tcPr>
          <w:p w14:paraId="117F5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可以分别构造小模型、主模型和大模型，模型规模实验不必跨家族。</w:t>
            </w:r>
          </w:p>
        </w:tc>
      </w:tr>
      <w:tr w14:paraId="44BB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4E2BB1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7B 约 7.61B 参数，14B 与 1.5B 均有官方权重</w:t>
            </w:r>
          </w:p>
        </w:tc>
        <w:tc>
          <w:tcPr>
            <w:tcW w:w="6917" w:type="dxa"/>
            <w:vAlign w:val="center"/>
          </w:tcPr>
          <w:p w14:paraId="5DFAE7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7B 适合作为 24GB/48GB 两卡共同主模型；14B 适合 48GB 平台；1.5B 可覆盖 RTX 3060。</w:t>
            </w:r>
          </w:p>
        </w:tc>
      </w:tr>
      <w:tr w14:paraId="50DF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67241F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官方支持 Transformers，并提供 Qwen2.5-7B-Instruct 的 GGUF/F16/Q8/Q4 等文件</w:t>
            </w:r>
          </w:p>
        </w:tc>
        <w:tc>
          <w:tcPr>
            <w:tcW w:w="6917" w:type="dxa"/>
            <w:vAlign w:val="center"/>
          </w:tcPr>
          <w:p w14:paraId="2ADF5B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同一模型可以用于 PyTorch eager、量化和 llama.cpp 补充实验，减少模型来源差异。</w:t>
            </w:r>
          </w:p>
        </w:tc>
      </w:tr>
      <w:tr w14:paraId="3BB4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00D078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Apache-2.0 开放许可，模型 revision 可固定</w:t>
            </w:r>
          </w:p>
        </w:tc>
        <w:tc>
          <w:tcPr>
            <w:tcW w:w="6917" w:type="dxa"/>
            <w:vAlign w:val="center"/>
          </w:tcPr>
          <w:p w14:paraId="351DAD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便于论文复现、公开配置和长期保存 artifact。</w:t>
            </w:r>
          </w:p>
        </w:tc>
      </w:tr>
      <w:tr w14:paraId="6D09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5C3822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上下文能力远高于本实验最大 4096 token</w:t>
            </w:r>
          </w:p>
        </w:tc>
        <w:tc>
          <w:tcPr>
            <w:tcW w:w="6917" w:type="dxa"/>
            <w:vAlign w:val="center"/>
          </w:tcPr>
          <w:p w14:paraId="480D8C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本研究使用 128–4096 token 时不会触及模型上下文极限。</w:t>
            </w:r>
          </w:p>
        </w:tc>
      </w:tr>
      <w:tr w14:paraId="0CE4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0807FE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现有项目已经基于 Qwen2.5-1.5B 做过测试</w:t>
            </w:r>
          </w:p>
        </w:tc>
        <w:tc>
          <w:tcPr>
            <w:tcW w:w="6917" w:type="dxa"/>
            <w:vAlign w:val="center"/>
          </w:tcPr>
          <w:p w14:paraId="706311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能够复用 tokenizer、手写 prefill/decode、KV cache 和现有测试代码，降低工程风险。</w:t>
            </w:r>
          </w:p>
        </w:tc>
      </w:tr>
    </w:tbl>
    <w:p w14:paraId="410ECF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473FFB6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选择 Qwen2.5 不是因为它在 2026 年仍是“最新模型”，也不是为了比较模型能力。选择它的核心原因是：同家族规模齐全、Transformers 和 GGUF 生态成熟、能覆盖现有三张 GPU，并且与当前代码基础连续，最适合作为受控系统测量平台。</w:t>
      </w:r>
    </w:p>
    <w:p w14:paraId="2203E9F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2.3 模型 M：具体推荐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833"/>
        <w:gridCol w:w="800"/>
        <w:gridCol w:w="2141"/>
        <w:gridCol w:w="2983"/>
      </w:tblGrid>
      <w:tr w14:paraId="3066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34047C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标识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B7308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具体模型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FA4D8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精度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099E4D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主要用途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20A5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为什么这样选</w:t>
            </w:r>
          </w:p>
        </w:tc>
      </w:tr>
      <w:tr w14:paraId="7917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34808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M0 主模型</w:t>
            </w:r>
          </w:p>
        </w:tc>
        <w:tc>
          <w:tcPr>
            <w:tcW w:w="3175" w:type="dxa"/>
            <w:vAlign w:val="center"/>
          </w:tcPr>
          <w:p w14:paraId="6FC358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Qwen/Qwen2.5-7B-Instruct</w:t>
            </w:r>
          </w:p>
        </w:tc>
        <w:tc>
          <w:tcPr>
            <w:tcW w:w="850" w:type="dxa"/>
            <w:vAlign w:val="center"/>
          </w:tcPr>
          <w:p w14:paraId="198693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20121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工作负载影响组、优化路径效果组</w:t>
            </w:r>
          </w:p>
        </w:tc>
        <w:tc>
          <w:tcPr>
            <w:tcW w:w="3402" w:type="dxa"/>
            <w:vAlign w:val="center"/>
          </w:tcPr>
          <w:p w14:paraId="4B0139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 RTX 4090 24GB 与 RTX 6000 Ada 48GB 上形成共同模型；规模足够代表本地 LLM。</w:t>
            </w:r>
          </w:p>
        </w:tc>
      </w:tr>
      <w:tr w14:paraId="0ABB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1000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M1 大模型</w:t>
            </w:r>
          </w:p>
        </w:tc>
        <w:tc>
          <w:tcPr>
            <w:tcW w:w="3175" w:type="dxa"/>
            <w:vAlign w:val="center"/>
          </w:tcPr>
          <w:p w14:paraId="6ABFBC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Qwen/Qwen2.5-14B-Instruct</w:t>
            </w:r>
          </w:p>
        </w:tc>
        <w:tc>
          <w:tcPr>
            <w:tcW w:w="850" w:type="dxa"/>
            <w:vAlign w:val="center"/>
          </w:tcPr>
          <w:p w14:paraId="2918D2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6E2A1E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模型规模影响组，仅 P1</w:t>
            </w:r>
          </w:p>
        </w:tc>
        <w:tc>
          <w:tcPr>
            <w:tcW w:w="3402" w:type="dxa"/>
            <w:vAlign w:val="center"/>
          </w:tcPr>
          <w:p w14:paraId="3CDA89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与 M0 同系列；权重和运行内存更适合 48GB 平台。</w:t>
            </w:r>
          </w:p>
        </w:tc>
      </w:tr>
      <w:tr w14:paraId="6A74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D52F3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Msmall 小模型</w:t>
            </w:r>
          </w:p>
        </w:tc>
        <w:tc>
          <w:tcPr>
            <w:tcW w:w="3175" w:type="dxa"/>
            <w:vAlign w:val="center"/>
          </w:tcPr>
          <w:p w14:paraId="38C485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Qwen/Qwen2.5-1.5B-Instruct</w:t>
            </w:r>
          </w:p>
        </w:tc>
        <w:tc>
          <w:tcPr>
            <w:tcW w:w="850" w:type="dxa"/>
            <w:vAlign w:val="center"/>
          </w:tcPr>
          <w:p w14:paraId="20165F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040760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硬件平台影响组</w:t>
            </w:r>
          </w:p>
        </w:tc>
        <w:tc>
          <w:tcPr>
            <w:tcW w:w="3402" w:type="dxa"/>
            <w:vAlign w:val="center"/>
          </w:tcPr>
          <w:p w14:paraId="0ADC59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能够在 RTX 3060 12GB、4090 和 6000 Ada 上保持相同模型与精度。</w:t>
            </w:r>
          </w:p>
        </w:tc>
      </w:tr>
      <w:tr w14:paraId="231D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B93A2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Mmoe 补充模型</w:t>
            </w:r>
          </w:p>
        </w:tc>
        <w:tc>
          <w:tcPr>
            <w:tcW w:w="3175" w:type="dxa"/>
            <w:vAlign w:val="center"/>
          </w:tcPr>
          <w:p w14:paraId="2A582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Qwen/Qwen1.5-MoE-A2.7B-Chat</w:t>
            </w:r>
          </w:p>
        </w:tc>
        <w:tc>
          <w:tcPr>
            <w:tcW w:w="850" w:type="dxa"/>
            <w:vAlign w:val="center"/>
          </w:tcPr>
          <w:p w14:paraId="35E781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01BDCC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语义输入与 MoE 路由补充组，仅 P1</w:t>
            </w:r>
          </w:p>
        </w:tc>
        <w:tc>
          <w:tcPr>
            <w:tcW w:w="3402" w:type="dxa"/>
            <w:vAlign w:val="center"/>
          </w:tcPr>
          <w:p w14:paraId="4D3D6B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总参数约 14.3B、每 token 激活约 2.7B，48GB 单卡可行性较高；Transformers 可返回 router logits。</w:t>
            </w:r>
          </w:p>
        </w:tc>
      </w:tr>
      <w:tr w14:paraId="279F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4B362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hint="default" w:ascii="Times New Roman" w:hAnsi="Times New Roman" w:eastAsia="宋体"/>
                <w:b w:val="0"/>
                <w:sz w:val="16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Llama家族</w:t>
            </w:r>
          </w:p>
        </w:tc>
        <w:tc>
          <w:tcPr>
            <w:tcW w:w="3175" w:type="dxa"/>
            <w:vAlign w:val="center"/>
          </w:tcPr>
          <w:p w14:paraId="62CE81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Llama-3.1-8B-Instruct</w:t>
            </w:r>
          </w:p>
        </w:tc>
        <w:tc>
          <w:tcPr>
            <w:tcW w:w="850" w:type="dxa"/>
            <w:vAlign w:val="center"/>
          </w:tcPr>
          <w:p w14:paraId="63973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</w:p>
        </w:tc>
        <w:tc>
          <w:tcPr>
            <w:tcW w:w="2494" w:type="dxa"/>
            <w:vAlign w:val="center"/>
          </w:tcPr>
          <w:p w14:paraId="4153A8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</w:p>
        </w:tc>
        <w:tc>
          <w:tcPr>
            <w:tcW w:w="3402" w:type="dxa"/>
            <w:vAlign w:val="center"/>
          </w:tcPr>
          <w:p w14:paraId="4D0EBA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</w:p>
        </w:tc>
      </w:tr>
    </w:tbl>
    <w:p w14:paraId="257EB0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474EC953">
      <w:pPr>
        <w:pStyle w:val="16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M0 的 W12/W22（4096 或长输入输出、Batch=4）以及 C1 编译路径可能出现显存不足。Pilot 应先验证共同可行域；不可行时按预先规则统一删点或调整主模型，而不是只在某个平台临时降精度。</w:t>
      </w:r>
    </w:p>
    <w:p w14:paraId="779FCC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2.4 平台 P：具体推荐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3873"/>
        <w:gridCol w:w="2087"/>
        <w:gridCol w:w="3144"/>
      </w:tblGrid>
      <w:tr w14:paraId="7BE9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590ECF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标识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64D562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具体平台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5B161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用于哪些组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99697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选择理由</w:t>
            </w:r>
          </w:p>
        </w:tc>
      </w:tr>
      <w:tr w14:paraId="2A60C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6B565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w="4252" w:type="dxa"/>
            <w:vAlign w:val="center"/>
          </w:tcPr>
          <w:p w14:paraId="4825EE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AMD EPYC 9754 + RTX 4090 24GB</w:t>
            </w:r>
          </w:p>
        </w:tc>
        <w:tc>
          <w:tcPr>
            <w:tcW w:w="2268" w:type="dxa"/>
            <w:vAlign w:val="center"/>
          </w:tcPr>
          <w:p w14:paraId="0C7056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工作负载、优化路径</w:t>
            </w:r>
          </w:p>
        </w:tc>
        <w:tc>
          <w:tcPr>
            <w:tcW w:w="3402" w:type="dxa"/>
            <w:vAlign w:val="center"/>
          </w:tcPr>
          <w:p w14:paraId="76B746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代表高性能消费级 GPU。</w:t>
            </w:r>
          </w:p>
        </w:tc>
      </w:tr>
      <w:tr w14:paraId="6C33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D4F6A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w="4252" w:type="dxa"/>
            <w:vAlign w:val="center"/>
          </w:tcPr>
          <w:p w14:paraId="4AC203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同一 AMD EPYC 9754 主机 + RTX 6000 Ada 48GB</w:t>
            </w:r>
          </w:p>
        </w:tc>
        <w:tc>
          <w:tcPr>
            <w:tcW w:w="2268" w:type="dxa"/>
            <w:vAlign w:val="center"/>
          </w:tcPr>
          <w:p w14:paraId="63943B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工作负载、优化路径、模型规模、全部补充组</w:t>
            </w:r>
          </w:p>
        </w:tc>
        <w:tc>
          <w:tcPr>
            <w:tcW w:w="3402" w:type="dxa"/>
            <w:vAlign w:val="center"/>
          </w:tcPr>
          <w:p w14:paraId="6F3F0E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与 P0 共用 CPU/主机，且大显存适合 14B、MoE、F16 GGUF。</w:t>
            </w:r>
          </w:p>
        </w:tc>
      </w:tr>
      <w:tr w14:paraId="01FD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57C9F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w="4252" w:type="dxa"/>
            <w:vAlign w:val="center"/>
          </w:tcPr>
          <w:p w14:paraId="1F2C7A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实际外部 CPU + RTX 3060 12GB</w:t>
            </w:r>
          </w:p>
        </w:tc>
        <w:tc>
          <w:tcPr>
            <w:tcW w:w="2268" w:type="dxa"/>
            <w:vAlign w:val="center"/>
          </w:tcPr>
          <w:p w14:paraId="6EE56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硬件平台影响</w:t>
            </w:r>
          </w:p>
        </w:tc>
        <w:tc>
          <w:tcPr>
            <w:tcW w:w="3402" w:type="dxa"/>
            <w:vAlign w:val="center"/>
          </w:tcPr>
          <w:p w14:paraId="723B89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代表中低端完整平台 endpoint；结论不归因于单独 GPU。</w:t>
            </w:r>
          </w:p>
        </w:tc>
      </w:tr>
    </w:tbl>
    <w:p w14:paraId="3DC544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42996E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2.5 计算栈与模型表示 C：具体推荐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4199"/>
        <w:gridCol w:w="2028"/>
        <w:gridCol w:w="2551"/>
      </w:tblGrid>
      <w:tr w14:paraId="5393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9EAF7"/>
            <w:vAlign w:val="center"/>
          </w:tcPr>
          <w:p w14:paraId="4A43C1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标识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7281C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具体配置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AF34F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使用位置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C6EFC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边界说明</w:t>
            </w:r>
          </w:p>
        </w:tc>
      </w:tr>
      <w:tr w14:paraId="5502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4201EE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C0</w:t>
            </w:r>
          </w:p>
        </w:tc>
        <w:tc>
          <w:tcPr>
            <w:tcW w:w="4535" w:type="dxa"/>
            <w:vAlign w:val="center"/>
          </w:tcPr>
          <w:p w14:paraId="624833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Transformers + 手写 prefill/decode + PyTorch eager；固定 KV cache、greedy decoding；记录实际 SDPA/fused backend</w:t>
            </w:r>
          </w:p>
        </w:tc>
        <w:tc>
          <w:tcPr>
            <w:tcW w:w="2268" w:type="dxa"/>
            <w:vAlign w:val="center"/>
          </w:tcPr>
          <w:p w14:paraId="01D28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全部正式核心组</w:t>
            </w:r>
          </w:p>
        </w:tc>
        <w:tc>
          <w:tcPr>
            <w:tcW w:w="2835" w:type="dxa"/>
            <w:vAlign w:val="center"/>
          </w:tcPr>
          <w:p w14:paraId="2EF528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正式基线。</w:t>
            </w:r>
          </w:p>
        </w:tc>
      </w:tr>
      <w:tr w14:paraId="78D7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45CD80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C1</w:t>
            </w:r>
          </w:p>
        </w:tc>
        <w:tc>
          <w:tcPr>
            <w:tcW w:w="4535" w:type="dxa"/>
            <w:vAlign w:val="center"/>
          </w:tcPr>
          <w:p w14:paraId="045225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torch.compile(mode='reduce-overhead')，编译与 C0 相同的 forward/decode 路径</w:t>
            </w:r>
          </w:p>
        </w:tc>
        <w:tc>
          <w:tcPr>
            <w:tcW w:w="2268" w:type="dxa"/>
            <w:vAlign w:val="center"/>
          </w:tcPr>
          <w:p w14:paraId="591F36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优化路径效果组</w:t>
            </w:r>
          </w:p>
        </w:tc>
        <w:tc>
          <w:tcPr>
            <w:tcW w:w="2835" w:type="dxa"/>
            <w:vAlign w:val="center"/>
          </w:tcPr>
          <w:p w14:paraId="145742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Pilot 验证输出一致、graph break 和覆盖范围；不稳定则删除该组。</w:t>
            </w:r>
          </w:p>
        </w:tc>
      </w:tr>
      <w:tr w14:paraId="4F5A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67EC8A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Cllama-F16</w:t>
            </w:r>
          </w:p>
        </w:tc>
        <w:tc>
          <w:tcPr>
            <w:tcW w:w="4535" w:type="dxa"/>
            <w:vAlign w:val="center"/>
          </w:tcPr>
          <w:p w14:paraId="0ACE77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llama.cpp CUDA；Qwen2.5-7B-Instruct 官方 F16 GGUF；全层 GPU offload；单请求</w:t>
            </w:r>
          </w:p>
        </w:tc>
        <w:tc>
          <w:tcPr>
            <w:tcW w:w="2268" w:type="dxa"/>
            <w:vAlign w:val="center"/>
          </w:tcPr>
          <w:p w14:paraId="43621F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推理引擎补充组、量化组基线</w:t>
            </w:r>
          </w:p>
        </w:tc>
        <w:tc>
          <w:tcPr>
            <w:tcW w:w="2835" w:type="dxa"/>
            <w:vAlign w:val="center"/>
          </w:tcPr>
          <w:p w14:paraId="50A20F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与 PyTorch 是完整 endpoint 对比，不宣称只改变引擎。</w:t>
            </w:r>
          </w:p>
        </w:tc>
      </w:tr>
      <w:tr w14:paraId="3F3F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FFDAE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Cllama-Q8</w:t>
            </w:r>
          </w:p>
        </w:tc>
        <w:tc>
          <w:tcPr>
            <w:tcW w:w="4535" w:type="dxa"/>
            <w:vAlign w:val="center"/>
          </w:tcPr>
          <w:p w14:paraId="2CA5C8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llama.cpp CUDA；官方 Q8_0 GGUF；其余参数同 F16</w:t>
            </w:r>
          </w:p>
        </w:tc>
        <w:tc>
          <w:tcPr>
            <w:tcW w:w="2268" w:type="dxa"/>
            <w:vAlign w:val="center"/>
          </w:tcPr>
          <w:p w14:paraId="481E5C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量化精度补充组</w:t>
            </w:r>
          </w:p>
        </w:tc>
        <w:tc>
          <w:tcPr>
            <w:tcW w:w="2835" w:type="dxa"/>
            <w:vAlign w:val="center"/>
          </w:tcPr>
          <w:p w14:paraId="423F19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保持引擎不变，观察 8-bit 表示与对应量化 kernel。</w:t>
            </w:r>
          </w:p>
        </w:tc>
      </w:tr>
      <w:tr w14:paraId="687D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49A1AE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Cllama-Q4</w:t>
            </w:r>
          </w:p>
        </w:tc>
        <w:tc>
          <w:tcPr>
            <w:tcW w:w="4535" w:type="dxa"/>
            <w:vAlign w:val="center"/>
          </w:tcPr>
          <w:p w14:paraId="76AE7F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llama.cpp CUDA；官方 Q4_K_M GGUF；其余参数同 F16</w:t>
            </w:r>
          </w:p>
        </w:tc>
        <w:tc>
          <w:tcPr>
            <w:tcW w:w="2268" w:type="dxa"/>
            <w:vAlign w:val="center"/>
          </w:tcPr>
          <w:p w14:paraId="5F3E09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量化精度补充组</w:t>
            </w:r>
          </w:p>
        </w:tc>
        <w:tc>
          <w:tcPr>
            <w:tcW w:w="2835" w:type="dxa"/>
            <w:vAlign w:val="center"/>
          </w:tcPr>
          <w:p w14:paraId="184CA5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保持引擎不变，观察 4-bit 表示与对应量化 kernel。</w:t>
            </w:r>
          </w:p>
        </w:tc>
      </w:tr>
    </w:tbl>
    <w:p w14:paraId="2B291C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3B088AB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所有实验必须冻结模型 revision、tokenizer/input_ids、Transformers/PyTorch/llama.cpp commit、CUDA/driver、attention/flash-attention 设置、GPU offload 层数、线程、NUMA 和功耗策略。</w:t>
      </w:r>
    </w:p>
    <w:p w14:paraId="0A9C54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7D59CE41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2.5.1 C1 的唯一 Pilot 决策与 fallback 边界</w:t>
      </w:r>
    </w:p>
    <w:p w14:paraId="507CB28B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C1 是 G2 的优先干预候选，不是本版已经冻结的唯一正式干预。Pilot 必须检查输出一致性、compile/capture 稳定性、graph break/capture coverage、重复波动和 Pass0 收益；不满足条件时删除或收缩 G2，不自动切换跨栈 backend。</w:t>
      </w:r>
    </w:p>
    <w:p w14:paraId="05CCDDC0">
      <w:pPr>
        <w:pStyle w:val="168"/>
        <w:rPr>
          <w:rFonts w:ascii="Times New Roman" w:hAnsi="Times New Roman" w:eastAsia="宋体"/>
          <w:b w:val="0"/>
          <w:i w:val="0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若需要同栈 fallback，必须在 Formal 数据前明确唯一配置、单变量边界、预测目标和新 Pilot，并发布协议新版本。Llama、vLLM、llama.cpp 等完整栈候选不替代同栈干预。</w:t>
      </w:r>
    </w:p>
    <w:p w14:paraId="0BFFBCEA">
      <w:pPr>
        <w:rPr>
          <w:rFonts w:ascii="Times New Roman" w:hAnsi="Times New Roman" w:eastAsia="宋体"/>
          <w:b w:val="0"/>
          <w:i w:val="0"/>
          <w:color w:val="auto"/>
        </w:rPr>
        <w:sectPr>
          <w:headerReference r:id="rId5" w:type="default"/>
          <w:footerReference r:id="rId6" w:type="default"/>
          <w:pgSz w:w="12240" w:h="15840"/>
          <w:pgMar w:top="1191" w:right="1219" w:bottom="1077" w:left="1332" w:header="454" w:footer="454" w:gutter="0"/>
          <w:cols w:space="720" w:num="1"/>
          <w:docGrid w:linePitch="360" w:charSpace="0"/>
        </w:sectPr>
      </w:pPr>
      <w:r>
        <w:rPr>
          <w:rFonts w:ascii="Times New Roman" w:hAnsi="Times New Roman" w:eastAsia="宋体"/>
          <w:b w:val="0"/>
          <w:i w:val="0"/>
          <w:color w:val="000000"/>
        </w:rPr>
        <w:br w:type="page"/>
      </w:r>
    </w:p>
    <w:p w14:paraId="079F3B7E">
      <w:pPr>
        <w:pStyle w:val="4"/>
        <w:bidi w:val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color w:val="000000"/>
          <w:lang w:val="en-US" w:eastAsia="zh-CN"/>
        </w:rPr>
        <w:t>2.6 实验组整体设计表格</w:t>
      </w:r>
    </w:p>
    <w:p w14:paraId="39FD0A4E">
      <w:pPr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lang w:eastAsia="zh-CN"/>
        </w:rPr>
        <w:drawing>
          <wp:inline distT="0" distB="0" distL="114300" distR="114300">
            <wp:extent cx="8821420" cy="2844165"/>
            <wp:effectExtent l="0" t="0" r="2540" b="5715"/>
            <wp:docPr id="6" name="图片 6" descr="12M0KK`[DS(8JJL$R5Y3R3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M0KK`[DS(8JJL$R5Y3R3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144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23"/>
        <w:gridCol w:w="1543"/>
        <w:gridCol w:w="3034"/>
        <w:gridCol w:w="2113"/>
        <w:gridCol w:w="1781"/>
        <w:gridCol w:w="1566"/>
        <w:gridCol w:w="1690"/>
        <w:gridCol w:w="1563"/>
      </w:tblGrid>
      <w:tr w14:paraId="1B87D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C7DAF1" w:themeFill="text2" w:themeFillTint="32"/>
            <w:vAlign w:val="center"/>
          </w:tcPr>
          <w:p w14:paraId="3BB9CD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实验组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41FC68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核心问题</w:t>
            </w:r>
          </w:p>
        </w:tc>
        <w:tc>
          <w:tcPr>
            <w:tcW w:w="3034" w:type="dxa"/>
            <w:shd w:val="clear" w:color="auto" w:fill="C7DAF1" w:themeFill="text2" w:themeFillTint="32"/>
            <w:vAlign w:val="center"/>
          </w:tcPr>
          <w:p w14:paraId="117B16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大致怎么做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2F9E40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主要指标</w:t>
            </w:r>
          </w:p>
        </w:tc>
        <w:tc>
          <w:tcPr>
            <w:tcW w:w="1781" w:type="dxa"/>
            <w:shd w:val="clear" w:color="auto" w:fill="C7DAF1" w:themeFill="text2" w:themeFillTint="32"/>
            <w:vAlign w:val="center"/>
          </w:tcPr>
          <w:p w14:paraId="75523C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理想结论</w:t>
            </w:r>
          </w:p>
        </w:tc>
        <w:tc>
          <w:tcPr>
            <w:tcW w:w="1566" w:type="dxa"/>
            <w:shd w:val="clear" w:color="auto" w:fill="C7DAF1" w:themeFill="text2" w:themeFillTint="32"/>
            <w:vAlign w:val="center"/>
          </w:tcPr>
          <w:p w14:paraId="701FBB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最低有效结论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247637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失败影响</w:t>
            </w:r>
          </w:p>
        </w:tc>
        <w:tc>
          <w:tcPr>
            <w:tcW w:w="1563" w:type="dxa"/>
            <w:shd w:val="clear" w:color="auto" w:fill="C7DAF1" w:themeFill="text2" w:themeFillTint="32"/>
            <w:vAlign w:val="center"/>
          </w:tcPr>
          <w:p w14:paraId="52FFD6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论文作用</w:t>
            </w:r>
          </w:p>
        </w:tc>
      </w:tr>
      <w:tr w14:paraId="0D38D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D75CD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Q0：方法资格测试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398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ExposedPath 在声明支持的观察条件下，是否真的能够正确恢复 wait set、terminal、A/B，并在不确定时拒绝回答？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06B6B9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两部分：① synthetic 时间区间测试，验证原子切分、interval union、A 互斥闭合；②少量真实 CUDA C++ 微基准，控制 stream/device/event、Kernel/MemOp、completed-before-sync、valid-empty、跨 stream 依赖、缺失映射、tie、submission race 等。使用独立 expected/oracle，不调用正式 analyzer 的分类逻辑。最后在真实 LLM sentinel 上报告 coverage。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18C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wait-set activity ID/type/count exact match；terminal exact match；hidden/overlap/tail 与 oracle 的误差；partition duplicate/uncovered/out-of-window；invalid reason；supported-sync count/duration coverage；B-valid coverage；A_unattributed；dropped/NVTX/bleed。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4C747D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所有受支持微基准的 wait set 和 terminal 100% exact match；B 时间在冻结容差内一致；所有 ambiguous/unsupported case 正确 fail closed；</w:t>
            </w:r>
            <w:r>
              <w:rPr>
                <w:b/>
                <w:bCs/>
                <w:sz w:val="15"/>
                <w:szCs w:val="18"/>
                <w:lang w:val="en-US" w:eastAsia="zh-CN"/>
              </w:rPr>
              <w:t>真实 LLM trace 具有足够 coverage。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15B715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核心真实栈所用同步语义完全正确；低频或复杂语义明确标成 unsupported，并透明报告它们在真实 trace 中的影响比例。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54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硬门失败：不能用 G1–G7 的结果补偿。必须修 analyzer、registry 或 observation model，并重跑全部受影响 Q0。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B2F392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技术正确性和可信度基础。</w:t>
            </w:r>
            <w:r>
              <w:rPr>
                <w:sz w:val="15"/>
                <w:szCs w:val="18"/>
                <w:lang w:val="en-US" w:eastAsia="zh-CN"/>
              </w:rPr>
              <w:t>证明“尺子算得对”，是整篇论文的一票否决项。</w:t>
            </w:r>
          </w:p>
        </w:tc>
      </w:tr>
      <w:tr w14:paraId="2E75E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182D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N1：同步干预与比较必要性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2FA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Q0 已通过后，普通 raw sync、GPU active、launch-to-start、API/kernel count 是否足以判断新增用户时延？A 和 B 是否提供额外且必要的信息？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52DBBCF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PyTorch eager 的 Transformer layer loop 中，分别运行 V0、Vmarker、V16；V16 有非平凡结果后再扩展 V8/V24，并加入 Vnatural。比较无 profiler 的 Pass 0 E2E 与 Pass 1 的传统指标、A 和 B。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C820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Pass 0 E2E/phase latency；raw sync count/duration；GPU active/idle；launch-to-start；API/kernel count；A 五类及 ΔA；B wait set、terminal、hidden、overlap、tail 和 callsite 分布。</w:t>
            </w:r>
          </w:p>
        </w:tc>
        <w:tc>
          <w:tcPr>
            <w:tcW w:w="1781" w:type="dxa"/>
            <w:shd w:val="clear" w:color="auto" w:fill="auto"/>
            <w:vAlign w:val="center"/>
          </w:tcPr>
          <w:p>
            <w:r>
              <w:rPr/>
              <w:t>新插入同步的局部等待变长，但后续自然同步等待减少，若后续自然等待相应减少，则支持 waiting migration 解释；raw sync 若被直接解释为新增 E2E 会高估损失，而 A 给出完整净变化、B 解释局部迁移机制。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2BAA40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即使没有明显等待迁移，插入同步确实破坏提前提交并造成新增 E2E，A/B 能说明新增时间来自 device wait、Host/API 变化还是 hidden progress 减少。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30D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若所有版本都只是“越早同步越慢”，且 raw sync duration 已足以解释 E2E，则 N1 降级为鲁棒性/压力测试，不再作为方法不可替代性的核心贡献。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A4819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必要性与不可替代性证据。</w:t>
            </w:r>
            <w:r>
              <w:rPr>
                <w:sz w:val="15"/>
                <w:szCs w:val="18"/>
                <w:lang w:val="en-US" w:eastAsia="zh-CN"/>
              </w:rPr>
              <w:t>Q0 证明算得对，N1 证明这样算具有实际意义；同时展示 A 的整体记账和 B 的单 sync 解释互补。</w:t>
            </w:r>
          </w:p>
        </w:tc>
      </w:tr>
      <w:tr w14:paraId="0AAA6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EAB9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G1：工作负载影响主矩阵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0AD6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prompt 长度、输出长度、batch、Prefill/Decode 和 GPU 平台如何改变 Host/API/device-wait 暴露组成？</w:t>
            </w:r>
          </w:p>
        </w:tc>
        <w:tc>
          <w:tcPr>
            <w:tcW w:w="3034" w:type="dxa"/>
            <w:shd w:val="clear" w:color="auto" w:fill="auto"/>
            <w:vAlign w:val="center"/>
          </w:tcPr>
          <w:p>
            <w:r>
              <w:rPr/>
              <w:t>固定 Qwen2.5-7B BF16、PyTorch eager、生成协议和 backend；改变 W01–W22；在 RTX 4090 和 RTX 6000 Ada 上运行，共 22×2 个候选端点；Pilot 后冻结实际 Formal 数量。Pass 0 获取真实性能，Pass 1 获取 Raw/S/A/B/D。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3B0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E2E、Prefill/Decode latency、ratio-of-sums throughput；五类 A 的绝对值和占比；D_margin/D_score 及 CI；API/kernel/MemOp/sync；B terminal 和 coverage；质量门。</w:t>
            </w:r>
          </w:p>
        </w:tc>
        <w:tc>
          <w:tcPr>
            <w:tcW w:w="1781" w:type="dxa"/>
            <w:shd w:val="clear" w:color="auto" w:fill="auto"/>
            <w:vAlign w:val="center"/>
          </w:tcPr>
          <w:p>
            <w:r>
              <w:rPr/>
              <w:t>允许观察稳定的同比、非同比、区间依赖或 null 关系，例如轻负载 Host/API 暴露占优，负载增加后转为 device-wait；Prefill/Decode 转换边界不同；两张 GPU 的迁移点不同；相似 E2E 可能具有不同暴露结构。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2C25C1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得到若干稳定结构区间、清晰的 transition/uncertain 区域，或者证明某些组成在所测 W 范围内保持稳定。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03D0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若只得到“输入越长越慢、batch 越大 GPU 时间越多”等常识结果，方法仍可成立，但论文的 discovery/insight 强度明显不足。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FED04D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论文核心科学发现。</w:t>
            </w:r>
            <w:r>
              <w:rPr>
                <w:sz w:val="15"/>
                <w:szCs w:val="18"/>
                <w:lang w:val="en-US" w:eastAsia="zh-CN"/>
              </w:rPr>
              <w:t>决定论文是否超越“一个新的 trace 工具”，形成 workload-conditioned exposed-latency characterization。</w:t>
            </w:r>
          </w:p>
        </w:tc>
      </w:tr>
      <w:tr w14:paraId="5C21C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6A18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G2：同栈优化响应与留出验证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53E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优化前的暴露结构能否判断 compile 的收益范围？</w:t>
            </w:r>
            <w:r>
              <w:rPr>
                <w:b/>
                <w:bCs/>
                <w:sz w:val="15"/>
                <w:szCs w:val="18"/>
                <w:lang w:val="en-US" w:eastAsia="zh-CN"/>
              </w:rPr>
              <w:t>优化后总收益由哪些 A 类变化形成或被抵消？</w:t>
            </w:r>
          </w:p>
        </w:tc>
        <w:tc>
          <w:tcPr>
            <w:tcW w:w="3034" w:type="dxa"/>
            <w:shd w:val="clear" w:color="auto" w:fill="auto"/>
            <w:vAlign w:val="center"/>
          </w:tcPr>
          <w:p>
            <w:r>
              <w:rPr/>
              <w:t>固定 S1–S6、M0、P0/P1，比较 C0 eager 与 C1 torch.compile(mode='reduce-overhead')，形成 24 个候选端点；Pilot 后冻结可行子集。预注册 G2_score=A_host_path+A_cuda_api_submit；P0 用于描述性排序，P1 作为 held-out platform；与 API count、kernel count、kernel duration、raw sync、GPU active、launch-to-start 比较。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DF00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Pass 0 speedup、latency、throughput；G2_score；D_score；传统 baselines；ΔT；ΔA_host_path、ΔA_cuda_api、ΔA_device_wait、ΔA_sync_residual、ΔA_unattributed；Spearman 排序、方向判断、机制标签、coverage。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6BD7AE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held-out P1 上，G2_score 对 speedup 的方向或排序优于至少一组传统 baseline；并能说明收益来自 Host/API 收缩、device execution 改善，或者为何被 device-wait 抵消。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D7006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预测不一定优于 baseline，但优化后的 ΔA accounting 能稳定解释 speedup 来源、抵消项和近零响应机制。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8B7A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 held-out 结果不优于 baseline，删除“预测优化收益”主张，只保留“优化响应记账与机制解释”；若 C1 不稳定或输出不一致，则整个预测/行动性组删除。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C5BEFA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Actionability/System value。</w:t>
            </w:r>
            <w:r>
              <w:rPr>
                <w:sz w:val="15"/>
                <w:szCs w:val="18"/>
                <w:lang w:val="en-US" w:eastAsia="zh-CN"/>
              </w:rPr>
              <w:t>决定 ExposedPath 是事后描述工具，还是能帮助判断配置适用范围的系统分析方法。</w:t>
            </w:r>
          </w:p>
        </w:tc>
      </w:tr>
      <w:tr w14:paraId="610F2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F16C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G3：同家族模型规模泛化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1E6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G1 中的规律是否只属于 7B？模型规模改变的是规律本身，还是迁移阈值？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09C934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S1–S6、P1、C0、BF16 和生成协议；比较 Qwen2.5-7B 与 14B，共 12 个端点，只新增 6 个 14B 配置。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68D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时延、吞吐、A/D、per-token API/kernel/sync、显存占用、必要的 kernel/API 粒度变化。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492BC2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核心迁移方向跨 7B/14B 稳定；或者模型规模以可解释方式移动 Host/API→device-wait 的转换点。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42FA0DC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部分规律稳定、部分规模依赖；明确哪些发现可以跨规模，哪些只能限定在当前模型规模。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4792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如果高度不规则且无法解释，则降低泛化 claim，保留 7B characterization 和方法正确性主线。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ED475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模型轴泛化与适用边界。这是成本较低、控制最干净的一轴泛化证据。</w:t>
            </w:r>
          </w:p>
        </w:tc>
      </w:tr>
      <w:tr w14:paraId="1967B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13E6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G4：完整平台外部有效性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A6C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方法和 workload 规律是否只适用于同一高端服务器？在中低端完整平台上是否仍可使用？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64D731A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S1–S6、Qwen2.5-1.5B BF16、C0 和生成协议；比较 P0、P1、P2 三个完整平台 endpoint，共 18 个 WMPC。记录 CPU、内存、PCIe/NUMA、功耗和软件栈。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85B2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时延、吞吐、A/D、Raw、B coverage、A_unattributed、invalid reason、平台环境和资源质量。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27F9106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主要迁移方向跨平台保持稳定，但阈值随完整平台变化；或者揭示低端平台与高端平台具有不同的 Host/API/device-wait 暴露结构。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4FB49F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方法在各平台均能透明报告 coverage，并形成清楚的平台适用边界，即使规律不完全复制。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B44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 P2 数据质量或平台环境不可控，外部有效性减弱，但不阻塞核心论文；不能将跨主机差异错误称为纯 GPU 因果。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AC2E5A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平台外部有效性。</w:t>
            </w:r>
            <w:r>
              <w:rPr>
                <w:sz w:val="15"/>
                <w:szCs w:val="18"/>
                <w:lang w:val="en-US" w:eastAsia="zh-CN"/>
              </w:rPr>
              <w:t>对顶刊完整性很有价值；与 G3 构成模型和平台两个泛化轴。</w:t>
            </w:r>
          </w:p>
        </w:tc>
      </w:tr>
      <w:tr w14:paraId="0084E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237B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G5：MoE 语义与路由补充组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AC8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token 数相同的条件下，输入语义是否改变 expert routing，并进一步改变 kernel、同步和暴露结构？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554027F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使用 MoE 模型，固定 Batch=1、输出长度和平台；比较代码、数学、事实问答、叙事四类语义及 512/2048 输入，每类准备多个等 token prompt。性能 Pass 与 router-logits audit 分开。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41CB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A/D/B、时延、Raw；expert token count、负载熵、max/mean load、跨层不均衡、kernel/sync 变化。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36AA1E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建立“语义→专家路由→负载不均衡→执行与暴露结构变化”的机制链。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CCCBA3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没有显著语义差异，但能够说明所测语义下 routing 与暴露结构保持稳定。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119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不成功不影响 Q0–G4；若结果零散或无法解释，不进入正文主线。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3E3D9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可选机制型 case study。</w:t>
            </w:r>
            <w:r>
              <w:rPr>
                <w:sz w:val="15"/>
                <w:szCs w:val="18"/>
                <w:lang w:val="en-US" w:eastAsia="zh-CN"/>
              </w:rPr>
              <w:t>增加稀疏模型适用性，但容易扩散论文故事，不是核心论文成立条件。</w:t>
            </w:r>
          </w:p>
        </w:tc>
      </w:tr>
      <w:tr w14:paraId="4688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B67B1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G6：量化表示与执行路径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278F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F16、Q8、Q4 如何改变显存、kernel 粒度、数据活动和暴露结构？量化是否在所有 workload 上都加速？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DB8B1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llama.cpp CUDA、平台、线程、offload 和 S1–S6；比较官方 F16、Q8_0、Q4_K_M GGUF，共 18 个端点。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9B7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时延、吞吐、显存；A/D/B；kernel/MemOp 类型和粒度；quant/dequant kernel；API/sync 数量。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71E87F4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量化引起的性能和暴露结构变化具有稳定 workload 条件性，例如 Q4 降低 device execution，却增加某类 dequant 或同步路径。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8E67F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明确发现某些 workload 量化不加速，或者 F16/Q8/Q4 在所测条件下结构稳定。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8F6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不影响核心主张；若结果仅是“位宽越低显存越小”，论文增量有限，应放附录或删除。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F83E6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模型表示和执行路径扩展，不是纯精度实验，也不能替代 G2 的同栈单变量优化证据</w:t>
            </w:r>
            <w:bookmarkStart w:id="0" w:name="_GoBack"/>
            <w:bookmarkEnd w:id="0"/>
            <w:r>
              <w:rPr>
                <w:sz w:val="15"/>
                <w:szCs w:val="18"/>
                <w:lang w:val="en-US" w:eastAsia="zh-CN"/>
              </w:rPr>
              <w:t>。</w:t>
            </w:r>
          </w:p>
        </w:tc>
      </w:tr>
      <w:tr w14:paraId="167C0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952AA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G7：PyTorch eager 与 llama.cpp 完整栈端点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9FD4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两个完整本地推理栈如何通过不同 Host 调度、CUDA 提交、kernel、内存和同步组织形成不同暴露结构？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2AA9D9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P1、Qwen2.5-7B、FP16、Batch=1、输入和生成语义；选择四个代表 workload，对比 PyTorch eager 与 llama.cpp CUDA F16，共 8 个端点。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8CE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E2E、吞吐、A/D/B、API/kernel/MemOp/sync 数量、代表 timeline、实际 GPU offload 和引擎配置。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3C99528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即使两个引擎 E2E 接近，其 Host/API/device-wait 和同步组织仍显著不同；或者说明不同 workload 的引擎优势来自不同机制。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AA916E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至少在部分 workload 上得到稳定、可解释的完整 endpoint 结构差异。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3C7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结果差异不稳定时不影响核心；不能把差异归因于“纯引擎”，因为模型格式、kernel、调度和内存管理都同时变化。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52CB854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跨完整计算栈的外部验证。在 G5–G7 中对方法普适性最直接，但仍属于可选增强。</w:t>
            </w:r>
          </w:p>
        </w:tc>
      </w:tr>
      <w:tr w14:paraId="40515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1F6AF9E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逐 Token Decode Pilot（可选）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5EB00C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Phase-level Decode 平均值是否掩盖 token 位置上的动态变化？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8B0BE5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只在少量 Decode-heavy sentinel 上划分早、中、晚 token 窗口，比较 token latency、A/D、API/kernel/sync 结构；不得扩展到完整 WMPC。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596D457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per-token latency、窗口级 A/D、API/kernel/sync per token、coverage。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283465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发现早、中、晚 Decode 存在稳定结构迁移，且 phase 平均值会掩盖某种机制变化。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20A0D7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未发现明显变化，从而支持在当前研究范围内使用 phase-level 聚合。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41707C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不论正负都不影响核心论文；不能挤占 Q0/N1/G1/G2 资源。当前协议只将其保留为低优先级 Pilot。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2EFD3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</w:p>
        </w:tc>
      </w:tr>
    </w:tbl>
    <w:p w14:paraId="7A3903C6">
      <w:pPr>
        <w:rPr>
          <w:rFonts w:hint="default" w:ascii="Times New Roman" w:hAnsi="Times New Roman" w:eastAsia="宋体"/>
          <w:b w:val="0"/>
          <w:i w:val="0"/>
          <w:color w:val="auto"/>
          <w:lang w:val="en-US" w:eastAsia="zh-CN"/>
        </w:rPr>
        <w:sectPr>
          <w:pgSz w:w="15840" w:h="12240" w:orient="landscape"/>
          <w:pgMar w:top="1332" w:right="1191" w:bottom="1219" w:left="1077" w:header="454" w:footer="454" w:gutter="0"/>
          <w:cols w:space="720" w:num="1"/>
          <w:docGrid w:linePitch="360" w:charSpace="0"/>
        </w:sectPr>
      </w:pPr>
    </w:p>
    <w:p w14:paraId="79E681F5">
      <w:pPr>
        <w:rPr>
          <w:rFonts w:hint="default" w:ascii="Times New Roman" w:hAnsi="Times New Roman" w:eastAsia="宋体"/>
          <w:b w:val="0"/>
          <w:i w:val="0"/>
          <w:color w:val="auto"/>
          <w:lang w:val="en-US" w:eastAsia="zh-CN"/>
        </w:rPr>
      </w:pPr>
    </w:p>
    <w:p w14:paraId="29E22BF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第三章　方法资格测试（Q0）</w:t>
      </w:r>
    </w:p>
    <w:p w14:paraId="0558AA0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3.1 Q0 的目标：分区实现、同步语义与失败边界</w:t>
      </w:r>
    </w:p>
    <w:p w14:paraId="30DCEF26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Q0 的核心不是 A 相加等于 NVTX。Q0 必须分别验证：Raw 事实与身份完整；S 的 completion scope、W(s)、terminal 和 validity 符合 CUDA 语义；A/B 对独立 oracle 成立；证据不足、无关重叠和外部 ownership 能正确 fail closed。</w:t>
      </w:r>
    </w:p>
    <w:p w14:paraId="0C497D0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3.2 Q0 的核心语义对象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3616"/>
        <w:gridCol w:w="4226"/>
      </w:tblGrid>
      <w:tr w14:paraId="5AA3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/>
              <w:t>术语</w:t>
            </w:r>
          </w:p>
        </w:tc>
        <w:tc>
          <w:tcPr>
            <w:tcW w:w="3969" w:type="dxa"/>
            <w:shd w:val="clear" w:color="auto" w:fill="D9EAF7"/>
            <w:vAlign w:val="center"/>
          </w:tcPr>
          <w:p>
            <w:r>
              <w:rPr/>
              <w:t>通俗含义</w:t>
            </w:r>
          </w:p>
        </w:tc>
        <w:tc>
          <w:tcPr>
            <w:tcW w:w="4535" w:type="dxa"/>
            <w:shd w:val="clear" w:color="auto" w:fill="D9EAF7"/>
            <w:vAlign w:val="center"/>
          </w:tcPr>
          <w:p>
            <w:r>
              <w:rPr/>
              <w:t>例子</w:t>
            </w:r>
          </w:p>
        </w:tc>
      </w:tr>
      <w:tr w14:paraId="1F6E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>
            <w:r>
              <w:rPr/>
              <w:t>S 的 W(s)</w:t>
            </w:r>
          </w:p>
        </w:tc>
        <w:tc>
          <w:tcPr>
            <w:tcW w:w="3969" w:type="dxa"/>
            <w:vAlign w:val="center"/>
          </w:tcPr>
          <w:p>
            <w:r>
              <w:rPr/>
              <w:t>同步按 completion semantics 必须完成的请求内语义前驱集合；包括 sync 入口前已完成者</w:t>
            </w:r>
          </w:p>
        </w:tc>
        <w:tc>
          <w:tcPr>
            <w:tcW w:w="4535" w:type="dxa"/>
            <w:vAlign w:val="center"/>
          </w:tcPr>
          <w:p>
            <w:r>
              <w:rPr/>
              <w:t>stream sync 的同流提交前缀进入 W(s)，另一流无依赖的重叠活动不进入</w:t>
            </w:r>
          </w:p>
        </w:tc>
      </w:tr>
      <w:tr w14:paraId="6E24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>
            <w:r>
              <w:rPr/>
              <w:t>terminal evidence</w:t>
            </w:r>
          </w:p>
        </w:tc>
        <w:tc>
          <w:tcPr>
            <w:tcW w:w="3969" w:type="dxa"/>
            <w:vAlign w:val="center"/>
          </w:tcPr>
          <w:p>
            <w:r>
              <w:rPr/>
              <w:t>唯一支持同步完成边界的活动或 completion evidence</w:t>
            </w:r>
          </w:p>
        </w:tc>
        <w:tc>
          <w:tcPr>
            <w:tcW w:w="4535" w:type="dxa"/>
            <w:vAlign w:val="center"/>
          </w:tcPr>
          <w:p>
            <w:r>
              <w:rPr/>
              <w:t>只有依赖、identity 和容差都能唯一确定时才给 terminal；否则 ambiguous/invalid</w:t>
            </w:r>
          </w:p>
        </w:tc>
      </w:tr>
    </w:tbl>
    <w:p w14:paraId="47F78A25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3.2.1 sync_semantics_registry v0.x 的 observation contract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2760"/>
        <w:gridCol w:w="5532"/>
      </w:tblGrid>
      <w:tr w14:paraId="6171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2FAC13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记录对象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2C4D36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必需字段</w:t>
            </w:r>
          </w:p>
        </w:tc>
        <w:tc>
          <w:tcPr>
            <w:tcW w:w="5532" w:type="dxa"/>
            <w:shd w:val="clear" w:color="auto" w:fill="DDEBF7"/>
            <w:vAlign w:val="center"/>
          </w:tcPr>
          <w:p w14:paraId="2FC913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主要QA/失败原因</w:t>
            </w:r>
          </w:p>
        </w:tc>
      </w:tr>
      <w:tr w14:paraId="03FB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D0D6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Sync API</w:t>
            </w:r>
          </w:p>
        </w:tc>
        <w:tc>
          <w:tcPr>
            <w:tcW w:w="0" w:type="auto"/>
            <w:vAlign w:val="center"/>
          </w:tcPr>
          <w:p w14:paraId="712E34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API name、host start/end、thread、device/context、stream/event 参数</w:t>
            </w:r>
          </w:p>
        </w:tc>
        <w:tc>
          <w:tcPr>
            <w:tcW w:w="5532" w:type="dxa"/>
            <w:vAlign w:val="center"/>
          </w:tcPr>
          <w:p w14:paraId="586A4C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UNSUPPORTED_SYNC_API、MISSING_CONTEXT_ID/STREAM_ID/EVENT_ID</w:t>
            </w:r>
          </w:p>
        </w:tc>
      </w:tr>
      <w:tr w14:paraId="7FF3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EFE0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Launch/enqueue</w:t>
            </w:r>
          </w:p>
        </w:tc>
        <w:tc>
          <w:tcPr>
            <w:tcW w:w="0" w:type="auto"/>
            <w:vAlign w:val="center"/>
          </w:tcPr>
          <w:p w14:paraId="7D54AE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host start/end、thread、correlation、context、stream、submit/non-submit 分类</w:t>
            </w:r>
          </w:p>
        </w:tc>
        <w:tc>
          <w:tcPr>
            <w:tcW w:w="5532" w:type="dxa"/>
            <w:vAlign w:val="center"/>
          </w:tcPr>
          <w:p w14:paraId="4E4B3C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MISSING_ACTIVITY_CORRELATION、SUBMISSION_ORDER_AMBIGUOUS</w:t>
            </w:r>
          </w:p>
        </w:tc>
      </w:tr>
      <w:tr w14:paraId="56532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C265A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GPU activity</w:t>
            </w:r>
          </w:p>
        </w:tc>
        <w:tc>
          <w:tcPr>
            <w:tcW w:w="0" w:type="auto"/>
            <w:vAlign w:val="center"/>
          </w:tcPr>
          <w:p w14:paraId="4046DB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activity ID、type、GPU start/end、stream/context/correlation</w:t>
            </w:r>
          </w:p>
        </w:tc>
        <w:tc>
          <w:tcPr>
            <w:tcW w:w="5532" w:type="dxa"/>
            <w:vAlign w:val="center"/>
          </w:tcPr>
          <w:p w14:paraId="09463D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CLOCK_ORDER_INVALID、ACTIVITY_OUT_OF_WINDOW</w:t>
            </w:r>
          </w:p>
        </w:tc>
      </w:tr>
      <w:tr w14:paraId="4804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0EB2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Event/default stream</w:t>
            </w:r>
          </w:p>
        </w:tc>
        <w:tc>
          <w:tcPr>
            <w:tcW w:w="0" w:type="auto"/>
            <w:vAlign w:val="center"/>
          </w:tcPr>
          <w:p w14:paraId="752B27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record/wait mapping、event ID、record stream/context、default-stream mode</w:t>
            </w:r>
          </w:p>
        </w:tc>
        <w:tc>
          <w:tcPr>
            <w:tcW w:w="5532" w:type="dxa"/>
            <w:vAlign w:val="center"/>
          </w:tcPr>
          <w:p w14:paraId="068F0A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MISSING_EVENT_RECORD、DEFAULT_STREAM_MODE_UNKNOWN、DEPENDENCY_CLOSURE_UNOBSERVABLE</w:t>
            </w:r>
          </w:p>
        </w:tc>
      </w:tr>
      <w:tr w14:paraId="5D5D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3" w:type="dxa"/>
            <w:vAlign w:val="center"/>
          </w:tcPr>
          <w:p w14:paraId="3BAC5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Invocation/phase</w:t>
            </w:r>
          </w:p>
        </w:tc>
        <w:tc>
          <w:tcPr>
            <w:tcW w:w="2760" w:type="dxa"/>
            <w:vAlign w:val="center"/>
          </w:tcPr>
          <w:p w14:paraId="706FAA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request/phase NVTX [start,end)、owner thread/callsite</w:t>
            </w:r>
          </w:p>
        </w:tc>
        <w:tc>
          <w:tcPr>
            <w:tcW w:w="5532" w:type="dxa"/>
            <w:vAlign w:val="center"/>
          </w:tcPr>
          <w:p w14:paraId="685ABB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INVOCATION/PHASE_OWNERSHIP_AMBIGUOUS、invocation_bleed</w:t>
            </w:r>
          </w:p>
        </w:tc>
      </w:tr>
    </w:tbl>
    <w:p w14:paraId="41C6270E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submitted 的操作判据必须由 Measurement Contract 按可观察事实冻结。活动是否在 sync.start 前完成不影响其语义前驱身份；e.end 与 sync.start 只用于计算 hidden/exposed。若 enqueue 与 sync 的顺序或 ownership 无法证明，输出 AMBIGUOUS/INVALID，不猜成员。</w:t>
      </w:r>
    </w:p>
    <w:p w14:paraId="47DDADC7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3.2.2 wait-set 三态与 A/B 状态合同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139"/>
        <w:gridCol w:w="3070"/>
        <w:gridCol w:w="2646"/>
      </w:tblGrid>
      <w:tr w14:paraId="0555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wait_set_status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terminal/status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A 行为</w:t>
            </w:r>
          </w:p>
        </w:tc>
        <w:tc>
          <w:tcPr>
            <w:tcW w:w="2646" w:type="dxa"/>
            <w:shd w:val="clear" w:color="auto" w:fill="DDEBF7"/>
            <w:vAlign w:val="center"/>
          </w:tcPr>
          <w:p>
            <w:r>
              <w:rPr/>
              <w:t>B 行为</w:t>
            </w:r>
          </w:p>
        </w:tc>
      </w:tr>
      <w:tr w14:paraId="1777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VALID_NONEMPTY</w:t>
            </w:r>
          </w:p>
        </w:tc>
        <w:tc>
          <w:tcPr>
            <w:tcW w:w="0" w:type="auto"/>
            <w:vAlign w:val="center"/>
          </w:tcPr>
          <w:p>
            <w:r>
              <w:rPr/>
              <w:t>唯一 completion evidence 时 VALID</w:t>
            </w:r>
          </w:p>
        </w:tc>
        <w:tc>
          <w:tcPr>
            <w:tcW w:w="0" w:type="auto"/>
            <w:vAlign w:val="center"/>
          </w:tcPr>
          <w:p>
            <w:r>
              <w:rPr/>
              <w:t>按 W(s) 与 sync window 的 union 计算；剩余按合同</w:t>
            </w:r>
          </w:p>
        </w:tc>
        <w:tc>
          <w:tcPr>
            <w:tcW w:w="2646" w:type="dxa"/>
            <w:vAlign w:val="center"/>
          </w:tcPr>
          <w:p>
            <w:r>
              <w:rPr/>
              <w:t>B_VALID 或因 terminal 证据不足转 ambiguous</w:t>
            </w:r>
          </w:p>
        </w:tc>
      </w:tr>
      <w:tr w14:paraId="14A9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VALID_EMPTY</w:t>
            </w:r>
          </w:p>
        </w:tc>
        <w:tc>
          <w:tcPr>
            <w:tcW w:w="0" w:type="auto"/>
            <w:vAlign w:val="center"/>
          </w:tcPr>
          <w:p>
            <w:r>
              <w:rPr/>
              <w:t>确无请求内受支持前驱；N/A</w:t>
            </w:r>
          </w:p>
        </w:tc>
        <w:tc>
          <w:tcPr>
            <w:tcW w:w="0" w:type="auto"/>
            <w:vAlign w:val="center"/>
          </w:tcPr>
          <w:p>
            <w:r>
              <w:rPr/>
              <w:t>A_device_wait=0；其余按合同</w:t>
            </w:r>
          </w:p>
        </w:tc>
        <w:tc>
          <w:tcPr>
            <w:tcW w:w="2646" w:type="dxa"/>
            <w:vAlign w:val="center"/>
          </w:tcPr>
          <w:p>
            <w:r>
              <w:rPr/>
              <w:t>B_NOT_APPLICABLE</w:t>
            </w:r>
          </w:p>
        </w:tc>
      </w:tr>
      <w:tr w14:paraId="5BA7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0" w:type="dxa"/>
            <w:vAlign w:val="center"/>
          </w:tcPr>
          <w:p>
            <w:r>
              <w:rPr/>
              <w:t>AMBIGUOUS</w:t>
            </w:r>
          </w:p>
        </w:tc>
        <w:tc>
          <w:tcPr>
            <w:tcW w:w="2139" w:type="dxa"/>
            <w:vAlign w:val="center"/>
          </w:tcPr>
          <w:p>
            <w:r>
              <w:rPr/>
              <w:t>存在多个合理解释</w:t>
            </w:r>
          </w:p>
        </w:tc>
        <w:tc>
          <w:tcPr>
            <w:tcW w:w="3070" w:type="dxa"/>
            <w:vAlign w:val="center"/>
          </w:tcPr>
          <w:p>
            <w:r>
              <w:rPr/>
              <w:t>不转成零值或已知类别</w:t>
            </w:r>
          </w:p>
        </w:tc>
        <w:tc>
          <w:tcPr>
            <w:tcW w:w="2646" w:type="dxa"/>
            <w:vAlign w:val="center"/>
          </w:tcPr>
          <w:p>
            <w:r>
              <w:rPr/>
              <w:t>B_AMBIGUOUS，保留原因/候选</w:t>
            </w:r>
          </w:p>
        </w:tc>
      </w:tr>
      <w:tr>
        <w:tc>
          <w:tcPr>
            <w:tcW w:type="dxa" w:w="2050"/>
          </w:tcPr>
          <w:p>
            <w:r>
              <w:rPr/>
              <w:t>INVALID</w:t>
            </w:r>
          </w:p>
        </w:tc>
        <w:tc>
          <w:tcPr>
            <w:tcW w:type="dxa" w:w="2139"/>
          </w:tcPr>
          <w:p>
            <w:r>
              <w:rPr/>
              <w:t>必需事实缺失、冲突或不受支持</w:t>
            </w:r>
          </w:p>
        </w:tc>
        <w:tc>
          <w:tcPr>
            <w:tcW w:type="dxa" w:w="3070"/>
          </w:tcPr>
          <w:p>
            <w:r>
              <w:rPr/>
              <w:t>进入 A_unattributed/排除并记录</w:t>
            </w:r>
          </w:p>
        </w:tc>
        <w:tc>
          <w:tcPr>
            <w:tcW w:type="dxa" w:w="2646"/>
          </w:tcPr>
          <w:p>
            <w:r>
              <w:rPr/>
              <w:t>B_INVALID</w:t>
            </w:r>
          </w:p>
        </w:tc>
      </w:tr>
    </w:tbl>
    <w:p w14:paraId="1897E4DF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per-sync schema 至少包含 sync/request/phase identity、sync_universe_class、completion_scope、registry_rule_id、submission_evidence、dependency_closure_status、wait_set_status、wait_set_activity_ids、terminal evidence/status、validity、ownership、cross_phase_dependency 和原因码。最终字段名由 Measurement Contract 冻结。</w:t>
      </w:r>
    </w:p>
    <w:p w14:paraId="0118731A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3.2.3 Physical blocking sync 支持矩阵与 fail-closed 优先级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382"/>
        <w:gridCol w:w="5625"/>
      </w:tblGrid>
      <w:tr w14:paraId="27F1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6AC701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类别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1D0CCB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v0.x状态</w:t>
            </w:r>
          </w:p>
        </w:tc>
        <w:tc>
          <w:tcPr>
            <w:tcW w:w="5625" w:type="dxa"/>
            <w:shd w:val="clear" w:color="auto" w:fill="DDEBF7"/>
            <w:vAlign w:val="center"/>
          </w:tcPr>
          <w:p w14:paraId="2DC6E5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等待集合规则</w:t>
            </w:r>
          </w:p>
        </w:tc>
      </w:tr>
      <w:tr w14:paraId="1FA9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2D90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Stream sync</w:t>
            </w:r>
          </w:p>
        </w:tc>
        <w:tc>
          <w:tcPr>
            <w:tcW w:w="0" w:type="auto"/>
            <w:vAlign w:val="center"/>
          </w:tcPr>
          <w:p w14:paraId="482D1D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5625" w:type="dxa"/>
            <w:vAlign w:val="center"/>
          </w:tcPr>
          <w:p w14:paraId="659859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目标 stream 的可观察依赖闭包，含可恢复 event/default-stream 前驱</w:t>
            </w:r>
          </w:p>
        </w:tc>
      </w:tr>
      <w:tr w14:paraId="291B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9DFB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Device/context sync</w:t>
            </w:r>
          </w:p>
        </w:tc>
        <w:tc>
          <w:tcPr>
            <w:tcW w:w="0" w:type="auto"/>
            <w:vAlign w:val="center"/>
          </w:tcPr>
          <w:p w14:paraId="369DE7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5625" w:type="dxa"/>
            <w:vAlign w:val="center"/>
          </w:tcPr>
          <w:p>
            <w:r>
              <w:rPr/>
              <w:t>owned context 中同步前已 submitted 的请求内语义前驱，包括 sync 入口前已完成成员；ownership 不唯一则 ambiguous/invalid</w:t>
            </w:r>
          </w:p>
        </w:tc>
      </w:tr>
      <w:tr w14:paraId="5A69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3D58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sync</w:t>
            </w:r>
          </w:p>
        </w:tc>
        <w:tc>
          <w:tcPr>
            <w:tcW w:w="0" w:type="auto"/>
            <w:vAlign w:val="center"/>
          </w:tcPr>
          <w:p w14:paraId="05AD33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5625" w:type="dxa"/>
            <w:vAlign w:val="center"/>
          </w:tcPr>
          <w:p w14:paraId="723278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record 节点及其前驱，不含 record 后 activity</w:t>
            </w:r>
          </w:p>
        </w:tc>
      </w:tr>
      <w:tr w14:paraId="6CEC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962A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同步 copy/隐式阻塞 API</w:t>
            </w:r>
          </w:p>
        </w:tc>
        <w:tc>
          <w:tcPr>
            <w:tcW w:w="0" w:type="auto"/>
            <w:vAlign w:val="center"/>
          </w:tcPr>
          <w:p w14:paraId="504379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in-universe，可 unsupported</w:t>
            </w:r>
          </w:p>
        </w:tc>
        <w:tc>
          <w:tcPr>
            <w:tcW w:w="5625" w:type="dxa"/>
            <w:vAlign w:val="center"/>
          </w:tcPr>
          <w:p w14:paraId="3555E6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不能恢复等待域时完整 sync→A_unattributed，不归普通 API</w:t>
            </w:r>
          </w:p>
        </w:tc>
      </w:tr>
      <w:tr w14:paraId="0B51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0A2A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Query/异步 launch</w:t>
            </w:r>
          </w:p>
        </w:tc>
        <w:tc>
          <w:tcPr>
            <w:tcW w:w="0" w:type="auto"/>
            <w:vAlign w:val="center"/>
          </w:tcPr>
          <w:p w14:paraId="40BD16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非 sync，除非 registry 明确实际阻塞</w:t>
            </w:r>
          </w:p>
        </w:tc>
        <w:tc>
          <w:tcPr>
            <w:tcW w:w="5625" w:type="dxa"/>
            <w:vAlign w:val="center"/>
          </w:tcPr>
          <w:p w14:paraId="7C0660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保留 Raw/API 分类，不自动构造 wait set</w:t>
            </w:r>
          </w:p>
        </w:tc>
      </w:tr>
      <w:tr w14:paraId="4518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8" w:type="dxa"/>
            <w:vAlign w:val="center"/>
          </w:tcPr>
          <w:p w14:paraId="3E44DA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Graph 内依赖</w:t>
            </w:r>
          </w:p>
        </w:tc>
        <w:tc>
          <w:tcPr>
            <w:tcW w:w="2382" w:type="dxa"/>
            <w:vAlign w:val="center"/>
          </w:tcPr>
          <w:p w14:paraId="30136A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条件支持</w:t>
            </w:r>
          </w:p>
        </w:tc>
        <w:tc>
          <w:tcPr>
            <w:tcW w:w="5625" w:type="dxa"/>
            <w:vAlign w:val="center"/>
          </w:tcPr>
          <w:p w14:paraId="2F0F28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最终 sync 按其语义；closure 不可观察时 GRAPH_MAPPING_UNSUPPORTED</w:t>
            </w:r>
          </w:p>
        </w:tc>
      </w:tr>
    </w:tbl>
    <w:p w14:paraId="2970BA2A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Validity 至少区分 valid、ambiguous 与 invalid；若使用 VALID_EMPTY，它只能表示没有请求内、受支持且可归属的语义前驱。completed-before-sync 必须保留在 W(s) 并体现 hidden progress。B_NOT_APPLICABLE、B_AMBIGUOUS 与 B_INVALID 分开统计。</w:t>
      </w:r>
    </w:p>
    <w:p w14:paraId="3C16825A">
      <w:pPr>
        <w:pStyle w:val="4"/>
        <w:ind w:left="0" w:leftChars="0" w:firstLine="0" w:firstLineChars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3.3 Q0 资格判据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5158"/>
        <w:gridCol w:w="3588"/>
      </w:tblGrid>
      <w:tr w14:paraId="0B1B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F1EAB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验证项目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624F1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数据怎样体现成功</w:t>
            </w:r>
          </w:p>
        </w:tc>
        <w:tc>
          <w:tcPr>
            <w:tcW w:w="3588" w:type="dxa"/>
            <w:shd w:val="clear" w:color="auto" w:fill="D9EAF7"/>
            <w:vAlign w:val="center"/>
          </w:tcPr>
          <w:p w14:paraId="360919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冻结判据</w:t>
            </w:r>
          </w:p>
        </w:tc>
      </w:tr>
      <w:tr w14:paraId="7786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D88A8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顶层 A 分区不变量</w:t>
            </w:r>
          </w:p>
        </w:tc>
        <w:tc>
          <w:tcPr>
            <w:tcW w:w="0" w:type="auto"/>
            <w:vAlign w:val="center"/>
          </w:tcPr>
          <w:p w14:paraId="028119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原子片段按优先级形成互斥完整覆盖；A_host_path 是剩余型 Host 请求路径。</w:t>
            </w:r>
          </w:p>
        </w:tc>
        <w:tc>
          <w:tcPr>
            <w:tcW w:w="3588" w:type="dxa"/>
            <w:vAlign w:val="center"/>
          </w:tcPr>
          <w:p w14:paraId="73222E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跨 A 重复=0 ns；加入 A_unattributed 后未覆盖=0 ns；窗口越界=0 ns；负时长/逆序有效记录=0。</w:t>
            </w:r>
          </w:p>
        </w:tc>
      </w:tr>
      <w:tr w14:paraId="3A34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F4B3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 二级分区</w:t>
            </w:r>
          </w:p>
        </w:tc>
        <w:tc>
          <w:tcPr>
            <w:tcW w:w="0" w:type="auto"/>
            <w:vAlign w:val="center"/>
          </w:tcPr>
          <w:p w14:paraId="550BDC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CUDA API submit/non-submit、device wait kernel/memop/mixed 在父类内部互斥。</w:t>
            </w:r>
          </w:p>
        </w:tc>
        <w:tc>
          <w:tcPr>
            <w:tcW w:w="3588" w:type="dxa"/>
            <w:vAlign w:val="center"/>
          </w:tcPr>
          <w:p w14:paraId="0D4880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整数 ns 域精确闭合；导出浮点毫秒≤0.1%只作序列化 QA。</w:t>
            </w:r>
          </w:p>
        </w:tc>
      </w:tr>
      <w:tr w14:paraId="6090B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35AE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未知时间受控</w:t>
            </w:r>
          </w:p>
        </w:tc>
        <w:tc>
          <w:tcPr>
            <w:tcW w:w="0" w:type="auto"/>
            <w:vAlign w:val="center"/>
          </w:tcPr>
          <w:p w14:paraId="57D7C8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missing/ambiguous/unsupported/ownership 不清的区间进入 A_unattributed，而不是为闭合塞入 Host。</w:t>
            </w:r>
          </w:p>
        </w:tc>
        <w:tc>
          <w:tcPr>
            <w:tcW w:w="3588" w:type="dxa"/>
            <w:vAlign w:val="center"/>
          </w:tcPr>
          <w:p w14:paraId="3A5DF2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Pilot 冻结 A_unattributed 与 supported duration coverage 门槛；每个 invalid reason 全量报告。</w:t>
            </w:r>
          </w:p>
        </w:tc>
      </w:tr>
      <w:tr w14:paraId="686E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8043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 wait-set 正确</w:t>
            </w:r>
          </w:p>
        </w:tc>
        <w:tc>
          <w:tcPr>
            <w:tcW w:w="0" w:type="auto"/>
            <w:vAlign w:val="center"/>
          </w:tcPr>
          <w:p w14:paraId="6A1683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人工安排的同步所等待 activity ID 与分析器恢复成员逐条一致。</w:t>
            </w:r>
          </w:p>
        </w:tc>
        <w:tc>
          <w:tcPr>
            <w:tcW w:w="3588" w:type="dxa"/>
            <w:vAlign w:val="center"/>
          </w:tcPr>
          <w:p w14:paraId="4ADB99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支持案例成员集合、数量、类型 100% exact match；不允许额外成员或漏成员。</w:t>
            </w:r>
          </w:p>
        </w:tc>
      </w:tr>
      <w:tr w14:paraId="1B94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932C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 terminal 正确</w:t>
            </w:r>
          </w:p>
        </w:tc>
        <w:tc>
          <w:tcPr>
            <w:tcW w:w="0" w:type="auto"/>
            <w:vAlign w:val="center"/>
          </w:tcPr>
          <w:p w14:paraId="7CF63A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人工安排的最后完成 kernel/MemOp 与分析器 terminal 一致。</w:t>
            </w:r>
          </w:p>
        </w:tc>
        <w:tc>
          <w:tcPr>
            <w:tcW w:w="3588" w:type="dxa"/>
            <w:vAlign w:val="center"/>
          </w:tcPr>
          <w:p w14:paraId="05481A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支持案例 terminal ID 100% exact match；tie 按规则 invalid。</w:t>
            </w:r>
          </w:p>
        </w:tc>
      </w:tr>
      <w:tr w14:paraId="14AA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1DD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 生命周期正确</w:t>
            </w:r>
          </w:p>
        </w:tc>
        <w:tc>
          <w:tcPr>
            <w:tcW w:w="0" w:type="auto"/>
            <w:vAlign w:val="center"/>
          </w:tcPr>
          <w:p w14:paraId="0C26DC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hidden、overlap、return tail 与独立 oracle 的区间运算一致。</w:t>
            </w:r>
          </w:p>
        </w:tc>
        <w:tc>
          <w:tcPr>
            <w:tcW w:w="3588" w:type="dxa"/>
            <w:vAlign w:val="center"/>
          </w:tcPr>
          <w:p w14:paraId="6E9542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在冻结 timestamp tolerance 内一致；oracle 不调用正式 analyzer 分类函数。</w:t>
            </w:r>
          </w:p>
        </w:tc>
      </w:tr>
      <w:tr w14:paraId="0903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40E8E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Fail-closed 正确</w:t>
            </w:r>
          </w:p>
        </w:tc>
        <w:tc>
          <w:tcPr>
            <w:tcW w:w="0" w:type="auto"/>
            <w:vAlign w:val="center"/>
          </w:tcPr>
          <w:p w14:paraId="795A1F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缺失 event/launch map、ownership 歧义、unsupported graph、ordering invalid 返回预期 reason。</w:t>
            </w:r>
          </w:p>
        </w:tc>
        <w:tc>
          <w:tcPr>
            <w:tcW w:w="3588" w:type="dxa"/>
            <w:vAlign w:val="center"/>
          </w:tcPr>
          <w:p w14:paraId="0552F5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故障注入案例 100% 输出预期 invalid reason；不生成伪 wait set/terminal。</w:t>
            </w:r>
          </w:p>
        </w:tc>
      </w:tr>
      <w:tr w14:paraId="1581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9" w:type="dxa"/>
            <w:vAlign w:val="center"/>
          </w:tcPr>
          <w:p w14:paraId="3CC0BC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真实 LLM 鲁棒性</w:t>
            </w:r>
          </w:p>
        </w:tc>
        <w:tc>
          <w:tcPr>
            <w:tcW w:w="5158" w:type="dxa"/>
            <w:vAlign w:val="center"/>
          </w:tcPr>
          <w:p w14:paraId="1FBD02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代表 sentinel 上 dropped=0、NVTX 完整、无 invocation bleed，并报告 coverage。</w:t>
            </w:r>
          </w:p>
        </w:tc>
        <w:tc>
          <w:tcPr>
            <w:tcW w:w="3588" w:type="dxa"/>
            <w:vAlign w:val="center"/>
          </w:tcPr>
          <w:p w14:paraId="689C8D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 count/duration、B_valid、A_unattributed、invalid reason 透明；正式门槛由 Pilot 冻结。</w:t>
            </w:r>
          </w:p>
        </w:tc>
      </w:tr>
    </w:tbl>
    <w:p w14:paraId="6CF6C2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0FCCF2A3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Q0 通过后只能声明：analyzer 在明确的 observation contract 与同步类型范围内，能够恢复预定义 completion set、W(s)、terminal/validity 和 A/B，并在不可判定时拒绝回答。不能由闭合或相关性推出 Host/CPU/GPU 根因。</w:t>
      </w:r>
    </w:p>
    <w:p w14:paraId="53FC5438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3.4 受控 CUDA C++ 微基准矩阵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907"/>
        <w:gridCol w:w="3385"/>
        <w:gridCol w:w="1685"/>
      </w:tblGrid>
      <w:tr w14:paraId="5F97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>
            <w:r>
              <w:rPr/>
              <w:t>Case</w:t>
            </w:r>
          </w:p>
        </w:tc>
        <w:tc>
          <w:tcPr>
            <w:tcW w:w="0" w:type="auto"/>
            <w:vAlign w:val="center"/>
          </w:tcPr>
          <w:p>
            <w:r>
              <w:rPr/>
              <w:t>受控结构</w:t>
            </w:r>
          </w:p>
        </w:tc>
        <w:tc>
          <w:tcPr>
            <w:tcW w:w="0" w:type="auto"/>
            <w:vAlign w:val="center"/>
          </w:tcPr>
          <w:p>
            <w:r>
              <w:rPr/>
              <w:t>Expected W(s)/terminal</w:t>
            </w:r>
          </w:p>
        </w:tc>
        <w:tc>
          <w:tcPr>
            <w:tcW w:w="1685" w:type="dxa"/>
            <w:vAlign w:val="center"/>
          </w:tcPr>
          <w:p>
            <w:r>
              <w:rPr/>
              <w:t>主要验证</w:t>
            </w:r>
          </w:p>
        </w:tc>
      </w:tr>
      <w:tr w14:paraId="3077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Stream sync</w:t>
            </w:r>
          </w:p>
        </w:tc>
        <w:tc>
          <w:tcPr>
            <w:tcW w:w="0" w:type="auto"/>
            <w:vAlign w:val="center"/>
          </w:tcPr>
          <w:p>
            <w:r>
              <w:rPr/>
              <w:t>stream1: K1→K2；stream2: K3；同步 stream1</w:t>
            </w:r>
          </w:p>
        </w:tc>
        <w:tc>
          <w:tcPr>
            <w:tcW w:w="0" w:type="auto"/>
            <w:vAlign w:val="center"/>
          </w:tcPr>
          <w:p>
            <w:r>
              <w:rPr/>
              <w:t>W={K1,K2}，包括已完成成员；K3 无依赖不进入；terminal 依冻结完成证据</w:t>
            </w:r>
          </w:p>
        </w:tc>
        <w:tc>
          <w:tcPr>
            <w:tcW w:w="1685" w:type="dxa"/>
            <w:vAlign w:val="center"/>
          </w:tcPr>
          <w:p>
            <w:r>
              <w:rPr/>
              <w:t>语义前驱不等于时间重叠或 pending</w:t>
            </w:r>
          </w:p>
        </w:tc>
      </w:tr>
      <w:tr w14:paraId="3E96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Device/context sync</w:t>
            </w:r>
          </w:p>
        </w:tc>
        <w:tc>
          <w:tcPr>
            <w:tcW w:w="0" w:type="auto"/>
            <w:vAlign w:val="center"/>
          </w:tcPr>
          <w:p>
            <w:r>
              <w:rPr/>
              <w:t>owned context 两个 stream 有此前提交活动</w:t>
            </w:r>
          </w:p>
        </w:tc>
        <w:tc>
          <w:tcPr>
            <w:tcW w:w="0" w:type="auto"/>
            <w:vAlign w:val="center"/>
          </w:tcPr>
          <w:p>
            <w:r>
              <w:rPr/>
              <w:t>W 包含 scope 内全部请求内语义前驱，包括已完成成员</w:t>
            </w:r>
          </w:p>
        </w:tc>
        <w:tc>
          <w:tcPr>
            <w:tcW w:w="1685" w:type="dxa"/>
            <w:vAlign w:val="center"/>
          </w:tcPr>
          <w:p>
            <w:r>
              <w:rPr/>
              <w:t>跨 stream completion scope 与 ownership</w:t>
            </w:r>
          </w:p>
        </w:tc>
      </w:tr>
      <w:tr w14:paraId="0D9B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Event sync</w:t>
            </w:r>
          </w:p>
        </w:tc>
        <w:tc>
          <w:tcPr>
            <w:tcW w:w="0" w:type="auto"/>
            <w:vAlign w:val="center"/>
          </w:tcPr>
          <w:p>
            <w:r>
              <w:rPr/>
              <w:t>K1→record(E)→K2；Host 等待 E</w:t>
            </w:r>
          </w:p>
        </w:tc>
        <w:tc>
          <w:tcPr>
            <w:tcW w:w="0" w:type="auto"/>
            <w:vAlign w:val="center"/>
          </w:tcPr>
          <w:p>
            <w:r>
              <w:rPr/>
              <w:t>W 为 event record 所代表的提交前缀，不含 K2</w:t>
            </w:r>
          </w:p>
        </w:tc>
        <w:tc>
          <w:tcPr>
            <w:tcW w:w="1685" w:type="dxa"/>
            <w:vAlign w:val="center"/>
          </w:tcPr>
          <w:p>
            <w:r>
              <w:rPr/>
              <w:t>event record mapping</w:t>
            </w:r>
          </w:p>
        </w:tc>
      </w:tr>
      <w:tr w14:paraId="42DA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Completed-before-sync</w:t>
            </w:r>
          </w:p>
        </w:tc>
        <w:tc>
          <w:tcPr>
            <w:tcW w:w="0" w:type="auto"/>
            <w:vAlign w:val="center"/>
          </w:tcPr>
          <w:p>
            <w:r>
              <w:rPr/>
              <w:t>K1、K2 都在 sync.start 前完成但属于 scope</w:t>
            </w:r>
          </w:p>
        </w:tc>
        <w:tc>
          <w:tcPr>
            <w:tcW w:w="0" w:type="auto"/>
            <w:vAlign w:val="center"/>
          </w:tcPr>
          <w:p>
            <w:r>
              <w:rPr/>
              <w:t>K1、K2 仍在 W(s)；暴露交集可为 0；terminal 由冻结规则判断</w:t>
            </w:r>
          </w:p>
        </w:tc>
        <w:tc>
          <w:tcPr>
            <w:tcW w:w="1685" w:type="dxa"/>
            <w:vAlign w:val="center"/>
          </w:tcPr>
          <w:p>
            <w:r>
              <w:rPr/>
              <w:t>hidden progress 不能通过删成员表示</w:t>
            </w:r>
          </w:p>
        </w:tc>
      </w:tr>
      <w:tr w14:paraId="0D76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Kernel+MemOp mixed</w:t>
            </w:r>
          </w:p>
        </w:tc>
        <w:tc>
          <w:tcPr>
            <w:tcW w:w="0" w:type="auto"/>
            <w:vAlign w:val="center"/>
          </w:tcPr>
          <w:p>
            <w:r>
              <w:rPr/>
              <w:t>kernel、memcpy/memset 混合依赖</w:t>
            </w:r>
          </w:p>
        </w:tc>
        <w:tc>
          <w:tcPr>
            <w:tcW w:w="0" w:type="auto"/>
            <w:vAlign w:val="center"/>
          </w:tcPr>
          <w:p>
            <w:r>
              <w:rPr/>
              <w:t>成员类型和 terminal evidence 与语义结构一致</w:t>
            </w:r>
          </w:p>
        </w:tc>
        <w:tc>
          <w:tcPr>
            <w:tcW w:w="1685" w:type="dxa"/>
            <w:vAlign w:val="center"/>
          </w:tcPr>
          <w:p>
            <w:r>
              <w:rPr/>
              <w:t>显式 MemOp 支持</w:t>
            </w:r>
          </w:p>
        </w:tc>
      </w:tr>
      <w:tr w14:paraId="6CA4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Unrelated overlap</w:t>
            </w:r>
          </w:p>
        </w:tc>
        <w:tc>
          <w:tcPr>
            <w:tcW w:w="0" w:type="auto"/>
            <w:vAlign w:val="center"/>
          </w:tcPr>
          <w:p>
            <w:r>
              <w:rPr/>
              <w:t>另一 stream 的 K3 与 sync 重叠但无 dependency</w:t>
            </w:r>
          </w:p>
        </w:tc>
        <w:tc>
          <w:tcPr>
            <w:tcW w:w="0" w:type="auto"/>
            <w:vAlign w:val="center"/>
          </w:tcPr>
          <w:p>
            <w:r>
              <w:rPr/>
              <w:t>K3 不进入 W(s)</w:t>
            </w:r>
          </w:p>
        </w:tc>
        <w:tc>
          <w:tcPr>
            <w:tcW w:w="1685" w:type="dxa"/>
            <w:vAlign w:val="center"/>
          </w:tcPr>
          <w:p>
            <w:r>
              <w:rPr/>
              <w:t>Temporal overlap≠dependency</w:t>
            </w:r>
          </w:p>
        </w:tc>
      </w:tr>
      <w:tr w14:paraId="5D6D2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Terminal tie</w:t>
            </w:r>
          </w:p>
        </w:tc>
        <w:tc>
          <w:tcPr>
            <w:tcW w:w="0" w:type="auto"/>
            <w:vAlign w:val="center"/>
          </w:tcPr>
          <w:p>
            <w:r>
              <w:rPr/>
              <w:t>多个 completion 候选在冻结容差内不可唯一</w:t>
            </w:r>
          </w:p>
        </w:tc>
        <w:tc>
          <w:tcPr>
            <w:tcW w:w="0" w:type="auto"/>
            <w:vAlign w:val="center"/>
          </w:tcPr>
          <w:p>
            <w:r>
              <w:rPr/>
              <w:t>AMBIGUOUS/INVALID；不强选最大时间戳</w:t>
            </w:r>
          </w:p>
        </w:tc>
        <w:tc>
          <w:tcPr>
            <w:tcW w:w="1685" w:type="dxa"/>
            <w:vAlign w:val="center"/>
          </w:tcPr>
          <w:p>
            <w:r>
              <w:rPr/>
              <w:t>terminal fail-closed</w:t>
            </w:r>
          </w:p>
        </w:tc>
      </w:tr>
      <w:tr w14:paraId="16A0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vAlign w:val="center"/>
          </w:tcPr>
          <w:p>
            <w:r>
              <w:rPr/>
              <w:t>Missing map / dropped</w:t>
            </w:r>
          </w:p>
        </w:tc>
        <w:tc>
          <w:tcPr>
            <w:tcW w:w="2907" w:type="dxa"/>
            <w:vAlign w:val="center"/>
          </w:tcPr>
          <w:p>
            <w:r>
              <w:rPr/>
              <w:t>移除 event/correlation 或注入 dropped records</w:t>
            </w:r>
          </w:p>
        </w:tc>
        <w:tc>
          <w:tcPr>
            <w:tcW w:w="3385" w:type="dxa"/>
            <w:vAlign w:val="center"/>
          </w:tcPr>
          <w:p>
            <w:r>
              <w:rPr/>
              <w:t>对应 invalid reason；不生成伪 W(s)/terminal</w:t>
            </w:r>
          </w:p>
        </w:tc>
        <w:tc>
          <w:tcPr>
            <w:tcW w:w="1685" w:type="dxa"/>
            <w:vAlign w:val="center"/>
          </w:tcPr>
          <w:p>
            <w:r>
              <w:rPr/>
              <w:t>证据完整性</w:t>
            </w:r>
          </w:p>
        </w:tc>
      </w:tr>
    </w:tbl>
    <w:p w14:paraId="573F41CD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3.4.1 Q0 扩展硬案例与预期状态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2669"/>
        <w:gridCol w:w="4160"/>
        <w:gridCol w:w="1439"/>
      </w:tblGrid>
      <w:tr w14:paraId="21C4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Case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受控结构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Expected</w:t>
            </w:r>
          </w:p>
        </w:tc>
        <w:tc>
          <w:tcPr>
            <w:tcW w:w="1439" w:type="dxa"/>
            <w:shd w:val="clear" w:color="auto" w:fill="DDEBF7"/>
            <w:vAlign w:val="center"/>
          </w:tcPr>
          <w:p>
            <w:r>
              <w:rPr/>
              <w:t>硬门</w:t>
            </w:r>
          </w:p>
        </w:tc>
      </w:tr>
      <w:tr w14:paraId="00FF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No predecessor / valid-empty</w:t>
            </w:r>
          </w:p>
        </w:tc>
        <w:tc>
          <w:tcPr>
            <w:tcW w:w="0" w:type="auto"/>
            <w:vAlign w:val="center"/>
          </w:tcPr>
          <w:p>
            <w:r>
              <w:rPr/>
              <w:t>同步 scope 内确无请求内、受支持、可归属的前驱</w:t>
            </w:r>
          </w:p>
        </w:tc>
        <w:tc>
          <w:tcPr>
            <w:tcW w:w="0" w:type="auto"/>
            <w:vAlign w:val="center"/>
          </w:tcPr>
          <w:p>
            <w:r>
              <w:rPr/>
              <w:t>VALID_EMPTY；W=∅；terminal N/A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7B26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Cross-stream wait-event</w:t>
            </w:r>
          </w:p>
        </w:tc>
        <w:tc>
          <w:tcPr>
            <w:tcW w:w="0" w:type="auto"/>
            <w:vAlign w:val="center"/>
          </w:tcPr>
          <w:p>
            <w:r>
              <w:rPr/>
              <w:t>stream1: K1→record(E)；stream2: wait(E)→K2；sync stream2</w:t>
            </w:r>
          </w:p>
        </w:tc>
        <w:tc>
          <w:tcPr>
            <w:tcW w:w="0" w:type="auto"/>
            <w:vAlign w:val="center"/>
          </w:tcPr>
          <w:p>
            <w:r>
              <w:rPr/>
              <w:t>W 包含 K2 与可观察 K1 前驱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307E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Legacy default stream</w:t>
            </w:r>
          </w:p>
        </w:tc>
        <w:tc>
          <w:tcPr>
            <w:tcW w:w="0" w:type="auto"/>
            <w:vAlign w:val="center"/>
          </w:tcPr>
          <w:p>
            <w:r>
              <w:rPr/>
              <w:t>显式构造 legacy default-stream 交互</w:t>
            </w:r>
          </w:p>
        </w:tc>
        <w:tc>
          <w:tcPr>
            <w:tcW w:w="0" w:type="auto"/>
            <w:vAlign w:val="center"/>
          </w:tcPr>
          <w:p>
            <w:r>
              <w:rPr/>
              <w:t>按 registry expected closure；mode 不明则 ambiguous/invalid</w:t>
            </w:r>
          </w:p>
        </w:tc>
        <w:tc>
          <w:tcPr>
            <w:tcW w:w="1439" w:type="dxa"/>
            <w:vAlign w:val="center"/>
          </w:tcPr>
          <w:p>
            <w:r>
              <w:rPr/>
              <w:t>必做或明确 unsupported</w:t>
            </w:r>
          </w:p>
        </w:tc>
      </w:tr>
      <w:tr w14:paraId="7D1F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Per-thread default stream</w:t>
            </w:r>
          </w:p>
        </w:tc>
        <w:tc>
          <w:tcPr>
            <w:tcW w:w="0" w:type="auto"/>
            <w:vAlign w:val="center"/>
          </w:tcPr>
          <w:p>
            <w:r>
              <w:rPr/>
              <w:t>多 Host 线程构造 PTDS</w:t>
            </w:r>
          </w:p>
        </w:tc>
        <w:tc>
          <w:tcPr>
            <w:tcW w:w="0" w:type="auto"/>
            <w:vAlign w:val="center"/>
          </w:tcPr>
          <w:p>
            <w:r>
              <w:rPr/>
              <w:t>与 legacy 预期区分；mode 不明则 ambiguous/invalid</w:t>
            </w:r>
          </w:p>
        </w:tc>
        <w:tc>
          <w:tcPr>
            <w:tcW w:w="1439" w:type="dxa"/>
            <w:vAlign w:val="center"/>
          </w:tcPr>
          <w:p>
            <w:r>
              <w:rPr/>
              <w:t>必做或明确 unsupported</w:t>
            </w:r>
          </w:p>
        </w:tc>
      </w:tr>
      <w:tr w14:paraId="6E83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Multi-thread ordered</w:t>
            </w:r>
          </w:p>
        </w:tc>
        <w:tc>
          <w:tcPr>
            <w:tcW w:w="0" w:type="auto"/>
            <w:vAlign w:val="center"/>
          </w:tcPr>
          <w:p>
            <w:r>
              <w:rPr/>
              <w:t>launch 与 sync 不同线程但提交顺序可证明</w:t>
            </w:r>
          </w:p>
        </w:tc>
        <w:tc>
          <w:tcPr>
            <w:tcW w:w="0" w:type="auto"/>
            <w:vAlign w:val="center"/>
          </w:tcPr>
          <w:p>
            <w:r>
              <w:rPr/>
              <w:t>成员与 oracle exact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65FD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Submission race</w:t>
            </w:r>
          </w:p>
        </w:tc>
        <w:tc>
          <w:tcPr>
            <w:tcW w:w="0" w:type="auto"/>
            <w:vAlign w:val="center"/>
          </w:tcPr>
          <w:p>
            <w:r>
              <w:rPr/>
              <w:t>enqueue 与 sync 顺序不可证明</w:t>
            </w:r>
          </w:p>
        </w:tc>
        <w:tc>
          <w:tcPr>
            <w:tcW w:w="0" w:type="auto"/>
            <w:vAlign w:val="center"/>
          </w:tcPr>
          <w:p>
            <w:r>
              <w:rPr/>
              <w:t>AMBIGUOUS；无伪成员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6FC1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Overlapping Host sync</w:t>
            </w:r>
          </w:p>
        </w:tc>
        <w:tc>
          <w:tcPr>
            <w:tcW w:w="0" w:type="auto"/>
            <w:vAlign w:val="center"/>
          </w:tcPr>
          <w:p>
            <w:r>
              <w:rPr/>
              <w:t>两个 Host 线程 sync 区间重叠</w:t>
            </w:r>
          </w:p>
        </w:tc>
        <w:tc>
          <w:tcPr>
            <w:tcW w:w="0" w:type="auto"/>
            <w:vAlign w:val="center"/>
          </w:tcPr>
          <w:p>
            <w:r>
              <w:rPr/>
              <w:t>A 用墙钟 union；B 保持 per-sync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533C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Phase-boundary spill</w:t>
            </w:r>
          </w:p>
        </w:tc>
        <w:tc>
          <w:tcPr>
            <w:tcW w:w="0" w:type="auto"/>
            <w:vAlign w:val="center"/>
          </w:tcPr>
          <w:p>
            <w:r>
              <w:rPr/>
              <w:t>Prefill-origin activity 在 Decode sync 中完成</w:t>
            </w:r>
          </w:p>
        </w:tc>
        <w:tc>
          <w:tcPr>
            <w:tcW w:w="0" w:type="auto"/>
            <w:vAlign w:val="center"/>
          </w:tcPr>
          <w:p>
            <w:r>
              <w:rPr/>
              <w:t>origin/owner/cross_phase 正确；A 只计窗口交集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59CD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Invocation bleed</w:t>
            </w:r>
          </w:p>
        </w:tc>
        <w:tc>
          <w:tcPr>
            <w:tcW w:w="0" w:type="auto"/>
            <w:vAlign w:val="center"/>
          </w:tcPr>
          <w:p>
            <w:r>
              <w:rPr/>
              <w:t>前一 request activity 进入下一窗口</w:t>
            </w:r>
          </w:p>
        </w:tc>
        <w:tc>
          <w:tcPr>
            <w:tcW w:w="0" w:type="auto"/>
            <w:vAlign w:val="center"/>
          </w:tcPr>
          <w:p>
            <w:r>
              <w:rPr/>
              <w:t>标记 ownership/bleed；拒绝强结论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0BD5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Graph unsupported</w:t>
            </w:r>
          </w:p>
        </w:tc>
        <w:tc>
          <w:tcPr>
            <w:tcW w:w="0" w:type="auto"/>
            <w:vAlign w:val="center"/>
          </w:tcPr>
          <w:p>
            <w:r>
              <w:rPr/>
              <w:t>缺 graph node/activity mapping</w:t>
            </w:r>
          </w:p>
        </w:tc>
        <w:tc>
          <w:tcPr>
            <w:tcW w:w="0" w:type="auto"/>
            <w:vAlign w:val="center"/>
          </w:tcPr>
          <w:p>
            <w:r>
              <w:rPr/>
              <w:t>GRAPH_MAPPING_UNSUPPORTED；无伪 terminal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5E40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Synchronous D2H/implicit</w:t>
            </w:r>
          </w:p>
        </w:tc>
        <w:tc>
          <w:tcPr>
            <w:tcW w:w="0" w:type="auto"/>
            <w:vAlign w:val="center"/>
          </w:tcPr>
          <w:p>
            <w:r>
              <w:rPr/>
              <w:t>registry 声明的阻塞 copy/API</w:t>
            </w:r>
          </w:p>
        </w:tc>
        <w:tc>
          <w:tcPr>
            <w:tcW w:w="0" w:type="auto"/>
            <w:vAlign w:val="center"/>
          </w:tcPr>
          <w:p>
            <w:r>
              <w:rPr/>
              <w:t>支持则 exact；否则 in-universe unsupported</w:t>
            </w:r>
          </w:p>
        </w:tc>
        <w:tc>
          <w:tcPr>
            <w:tcW w:w="1439" w:type="dxa"/>
            <w:vAlign w:val="center"/>
          </w:tcPr>
          <w:p>
            <w:r>
              <w:rPr/>
              <w:t>纳入时必做</w:t>
            </w:r>
          </w:p>
        </w:tc>
      </w:tr>
      <w:tr w14:paraId="6120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7" w:type="dxa"/>
            <w:vAlign w:val="center"/>
          </w:tcPr>
          <w:p>
            <w:r>
              <w:rPr/>
              <w:t>Query/poll</w:t>
            </w:r>
          </w:p>
        </w:tc>
        <w:tc>
          <w:tcPr>
            <w:tcW w:w="2669" w:type="dxa"/>
            <w:vAlign w:val="center"/>
          </w:tcPr>
          <w:p>
            <w:r>
              <w:rPr/>
              <w:t>event/stream query 循环</w:t>
            </w:r>
          </w:p>
        </w:tc>
        <w:tc>
          <w:tcPr>
            <w:tcW w:w="4160" w:type="dxa"/>
            <w:vAlign w:val="center"/>
          </w:tcPr>
          <w:p>
            <w:r>
              <w:rPr/>
              <w:t>不因名称自动建立 W(s)</w:t>
            </w:r>
          </w:p>
        </w:tc>
        <w:tc>
          <w:tcPr>
            <w:tcW w:w="1439" w:type="dxa"/>
            <w:vAlign w:val="center"/>
          </w:tcPr>
          <w:p>
            <w:r>
              <w:rPr/>
              <w:t>建议</w:t>
            </w:r>
          </w:p>
        </w:tc>
      </w:tr>
    </w:tbl>
    <w:p w14:paraId="566545AF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Q0 用例必须覆盖 Stream、Device/context、Event、completed-before-sync、真正无前驱的 valid-empty、无关跨流重叠、传递依赖、terminal 并列、缺失映射、ownership、dropped records、submission race 和 phase boundary。每个 expected 在运行 analyzer 前写定。</w:t>
      </w:r>
    </w:p>
    <w:p w14:paraId="175FCCF5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3.5 独立 Oracle 与误差计算</w:t>
      </w:r>
    </w:p>
    <w:p w14:paraId="7FFFCB56">
      <w:pPr>
        <w:pStyle w:val="169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partition_duplicate_ns = Σ|I_Ak| − |∪I_Ak|；partition_uncovered_ns = |T_window| − |∪I_Ak|。加入 A_unattributed 后两者都应为 0 ns。</w:t>
      </w:r>
    </w:p>
    <w:p w14:paraId="44C48C83">
      <w:pPr>
        <w:pStyle w:val="169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wait_set_exact = 1[W_recovered = W_expected]；terminal_exact = 1[e_recovered = e_expected]。受支持微基准要求逐 case 为 1。</w:t>
      </w:r>
    </w:p>
    <w:p w14:paraId="0BF39F43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B 的 pre-sync、overlap-sync 与 return-tail 由独立脚本直接读取 Raw timestamp 做区间交集；时间误差使用 |B_analyzer−B_oracle|，容差在 Pilot 根据时间戳粒度冻结。</w:t>
      </w:r>
    </w:p>
    <w:p w14:paraId="2446F986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Oracle 必须独立于正式 analyzer：可以复用 Raw parser，但不能调用 S wait-set builder、terminal selector 或 A/B 分类函数。</w:t>
      </w:r>
    </w:p>
    <w:p w14:paraId="3EA57A1B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3.5.1 独立 oracle 的逐 case expected schema</w:t>
      </w:r>
    </w:p>
    <w:p w14:paraId="65042A41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每个微基准 case 保存独立 expected.json/csv，至少包含以下字段；oracle 可复用 Raw parser，但不得调用正式 S builder、terminal selector 或 A/B classifier。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8"/>
        <w:gridCol w:w="6537"/>
      </w:tblGrid>
      <w:tr w14:paraId="4C24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44" w:type="dxa"/>
            <w:shd w:val="clear" w:color="auto" w:fill="DDEBF7"/>
            <w:vAlign w:val="center"/>
          </w:tcPr>
          <w:p w14:paraId="1B0A481B">
            <w:pPr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字段组</w:t>
            </w:r>
          </w:p>
        </w:tc>
        <w:tc>
          <w:tcPr>
            <w:tcW w:w="4844" w:type="dxa"/>
            <w:shd w:val="clear" w:color="auto" w:fill="DDEBF7"/>
            <w:vAlign w:val="center"/>
          </w:tcPr>
          <w:p w14:paraId="24316AB3">
            <w:pPr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冻结字段</w:t>
            </w:r>
          </w:p>
        </w:tc>
      </w:tr>
      <w:tr w14:paraId="0519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45458500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Identity/status</w:t>
            </w:r>
          </w:p>
        </w:tc>
        <w:tc>
          <w:tcPr>
            <w:tcW w:w="9360" w:type="dxa"/>
            <w:vAlign w:val="center"/>
          </w:tcPr>
          <w:p w14:paraId="22383245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case_id、sync_activity_id、expected_sync_universe_class、expected_wait_set_status、expected_invalid_reason</w:t>
            </w:r>
          </w:p>
        </w:tc>
      </w:tr>
      <w:tr w14:paraId="6654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7D569B6F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Wait set</w:t>
            </w:r>
          </w:p>
        </w:tc>
        <w:tc>
          <w:tcPr>
            <w:tcW w:w="9360" w:type="dxa"/>
            <w:vAlign w:val="center"/>
          </w:tcPr>
          <w:p w14:paraId="3D718EE9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expected_wait_set_activity_ids[]、expected_member_types[]、expected_wait_set_size</w:t>
            </w:r>
          </w:p>
        </w:tc>
      </w:tr>
      <w:tr w14:paraId="74D0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00528629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Terminal/B</w:t>
            </w:r>
          </w:p>
        </w:tc>
        <w:tc>
          <w:tcPr>
            <w:tcW w:w="9360" w:type="dxa"/>
            <w:vAlign w:val="center"/>
          </w:tcPr>
          <w:p w14:paraId="15857DAB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expected_terminal_status、expected_terminal_activity_id、expected_hidden_ns、expected_overlap_ns、expected_return_tail_ns</w:t>
            </w:r>
          </w:p>
        </w:tc>
      </w:tr>
      <w:tr w14:paraId="5AD9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6D0D378E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A/ownership</w:t>
            </w:r>
          </w:p>
        </w:tc>
        <w:tc>
          <w:tcPr>
            <w:tcW w:w="9360" w:type="dxa"/>
            <w:vAlign w:val="center"/>
          </w:tcPr>
          <w:p w14:paraId="6B56288E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expected_A_device_wait_ns、expected_A_sync_residual_ns、expected_sync_owner_phase、expected_terminal_origin_phase、expected_cross_phase_dependency</w:t>
            </w:r>
          </w:p>
        </w:tc>
      </w:tr>
      <w:tr w14:paraId="0759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1DD70484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QA</w:t>
            </w:r>
          </w:p>
        </w:tc>
        <w:tc>
          <w:tcPr>
            <w:tcW w:w="9360" w:type="dxa"/>
            <w:vAlign w:val="center"/>
          </w:tcPr>
          <w:p w14:paraId="4820B686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timestamp_source、oracle_version、raw_trace_hash、expected_tolerance_class</w:t>
            </w:r>
          </w:p>
        </w:tc>
      </w:tr>
    </w:tbl>
    <w:p w14:paraId="62861876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3.6 真实 LLM Trace 的鲁棒性与覆盖报告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4"/>
        <w:gridCol w:w="3767"/>
        <w:gridCol w:w="2734"/>
      </w:tblGrid>
      <w:tr w14:paraId="0531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7C50C0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质量字段</w:t>
            </w:r>
          </w:p>
        </w:tc>
        <w:tc>
          <w:tcPr>
            <w:tcW w:w="0" w:type="auto"/>
            <w:vAlign w:val="center"/>
          </w:tcPr>
          <w:p w14:paraId="2F25C2E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报告方式</w:t>
            </w:r>
          </w:p>
        </w:tc>
        <w:tc>
          <w:tcPr>
            <w:tcW w:w="2734" w:type="dxa"/>
            <w:vAlign w:val="center"/>
          </w:tcPr>
          <w:p w14:paraId="3ACAD6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强结论限制</w:t>
            </w:r>
          </w:p>
        </w:tc>
      </w:tr>
      <w:tr w14:paraId="3D99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88D7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supported_sync_count_coverage_pct</w:t>
            </w:r>
          </w:p>
        </w:tc>
        <w:tc>
          <w:tcPr>
            <w:tcW w:w="0" w:type="auto"/>
            <w:vAlign w:val="center"/>
          </w:tcPr>
          <w:p w14:paraId="7DAF32D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阶段内支持 physical blocking sync 数量/总数量</w:t>
            </w:r>
          </w:p>
        </w:tc>
        <w:tc>
          <w:tcPr>
            <w:tcW w:w="2734" w:type="dxa"/>
            <w:vAlign w:val="center"/>
          </w:tcPr>
          <w:p w14:paraId="759B285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数量低时不能概括所有 sync</w:t>
            </w:r>
          </w:p>
        </w:tc>
      </w:tr>
      <w:tr w14:paraId="3CC4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E099D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supported_sync_duration_coverage_pct</w:t>
            </w:r>
          </w:p>
        </w:tc>
        <w:tc>
          <w:tcPr>
            <w:tcW w:w="0" w:type="auto"/>
            <w:vAlign w:val="center"/>
          </w:tcPr>
          <w:p w14:paraId="7B17649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 sync duration/全部 blocking sync duration</w:t>
            </w:r>
          </w:p>
        </w:tc>
        <w:tc>
          <w:tcPr>
            <w:tcW w:w="2734" w:type="dxa"/>
            <w:vAlign w:val="center"/>
          </w:tcPr>
          <w:p w14:paraId="0E296C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主导持续时间未覆盖时不能做等待机制强结论</w:t>
            </w:r>
          </w:p>
        </w:tc>
      </w:tr>
      <w:tr w14:paraId="481C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347E1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B_valid_coverage_pct</w:t>
            </w:r>
          </w:p>
        </w:tc>
        <w:tc>
          <w:tcPr>
            <w:tcW w:w="0" w:type="auto"/>
            <w:vAlign w:val="center"/>
          </w:tcPr>
          <w:p w14:paraId="192A66A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B_valid sync/支持 sync</w:t>
            </w:r>
          </w:p>
        </w:tc>
        <w:tc>
          <w:tcPr>
            <w:tcW w:w="2734" w:type="dxa"/>
            <w:vAlign w:val="center"/>
          </w:tcPr>
          <w:p w14:paraId="7F3DD3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低时只报告有效子集</w:t>
            </w:r>
          </w:p>
        </w:tc>
      </w:tr>
      <w:tr w14:paraId="279B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054B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A_unattributed_pct</w:t>
            </w:r>
          </w:p>
        </w:tc>
        <w:tc>
          <w:tcPr>
            <w:tcW w:w="0" w:type="auto"/>
            <w:vAlign w:val="center"/>
          </w:tcPr>
          <w:p w14:paraId="4CFCBA0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证据不足墙钟/phase window</w:t>
            </w:r>
          </w:p>
        </w:tc>
        <w:tc>
          <w:tcPr>
            <w:tcW w:w="2734" w:type="dxa"/>
            <w:vAlign w:val="center"/>
          </w:tcPr>
          <w:p w14:paraId="45C0D0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过高时不得做 A 组成强结论</w:t>
            </w:r>
          </w:p>
        </w:tc>
      </w:tr>
      <w:tr w14:paraId="6150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F25FD4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invalid_reason distribution</w:t>
            </w:r>
          </w:p>
        </w:tc>
        <w:tc>
          <w:tcPr>
            <w:tcW w:w="0" w:type="auto"/>
            <w:vAlign w:val="center"/>
          </w:tcPr>
          <w:p w14:paraId="7B2B4A3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按缺失 mapping、ownership、unsupported、ordering 分类</w:t>
            </w:r>
          </w:p>
        </w:tc>
        <w:tc>
          <w:tcPr>
            <w:tcW w:w="2734" w:type="dxa"/>
            <w:vAlign w:val="center"/>
          </w:tcPr>
          <w:p w14:paraId="72E868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不得隐藏失败记录</w:t>
            </w:r>
          </w:p>
        </w:tc>
      </w:tr>
      <w:tr w14:paraId="7B06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4" w:type="dxa"/>
            <w:vAlign w:val="center"/>
          </w:tcPr>
          <w:p w14:paraId="08BEC84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dropped/NVTX/bleed</w:t>
            </w:r>
          </w:p>
        </w:tc>
        <w:tc>
          <w:tcPr>
            <w:tcW w:w="3767" w:type="dxa"/>
            <w:vAlign w:val="center"/>
          </w:tcPr>
          <w:p w14:paraId="798A2B1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dropped=0、NVTX coverage=100%、request-owned bleed=0</w:t>
            </w:r>
          </w:p>
        </w:tc>
        <w:tc>
          <w:tcPr>
            <w:tcW w:w="2734" w:type="dxa"/>
            <w:vAlign w:val="center"/>
          </w:tcPr>
          <w:p w14:paraId="052FB6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任一失败则该 repeat 不进入正式统计</w:t>
            </w:r>
          </w:p>
        </w:tc>
      </w:tr>
    </w:tbl>
    <w:p w14:paraId="42B32BE3">
      <w:pPr>
        <w:pStyle w:val="4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3.7 Q0/Pre-Pilot Go–No-Go 门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5423"/>
        <w:gridCol w:w="2641"/>
      </w:tblGrid>
      <w:tr w14:paraId="4F86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488B06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Gate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717DBB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Go条件</w:t>
            </w:r>
          </w:p>
        </w:tc>
        <w:tc>
          <w:tcPr>
            <w:tcW w:w="2641" w:type="dxa"/>
            <w:shd w:val="clear" w:color="auto" w:fill="DDEBF7"/>
            <w:vAlign w:val="center"/>
          </w:tcPr>
          <w:p w14:paraId="5FC983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No-Go后处理</w:t>
            </w:r>
          </w:p>
        </w:tc>
      </w:tr>
      <w:tr w14:paraId="2E0C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1DFA4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进入真实 LLM sentinel</w:t>
            </w:r>
          </w:p>
        </w:tc>
        <w:tc>
          <w:tcPr>
            <w:tcW w:w="0" w:type="auto"/>
            <w:vAlign w:val="center"/>
          </w:tcPr>
          <w:p w14:paraId="46E8F4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observation contract 已实现；valid-empty、cross-stream、ordering ambiguity 核心 case 可运行；无已知语义错误</w:t>
            </w:r>
          </w:p>
        </w:tc>
        <w:tc>
          <w:tcPr>
            <w:tcW w:w="2641" w:type="dxa"/>
            <w:vAlign w:val="center"/>
          </w:tcPr>
          <w:p w14:paraId="36AAD7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仅允许调试 workload，不解释 A/B 机制</w:t>
            </w:r>
          </w:p>
        </w:tc>
      </w:tr>
      <w:tr w14:paraId="6C214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34D2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进入 N1/G1/G2 sentinel Pilot</w:t>
            </w:r>
          </w:p>
        </w:tc>
        <w:tc>
          <w:tcPr>
            <w:tcW w:w="0" w:type="auto"/>
            <w:vAlign w:val="center"/>
          </w:tcPr>
          <w:p w14:paraId="5B9163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支持案例 wait set/terminal exact；invalid cases fail closed；A partition QA=0；LLM trace 无 dropped/NVTX 缺失/bleed</w:t>
            </w:r>
          </w:p>
        </w:tc>
        <w:tc>
          <w:tcPr>
            <w:tcW w:w="2641" w:type="dxa"/>
            <w:vAlign w:val="center"/>
          </w:tcPr>
          <w:p w14:paraId="509D0A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修 analyzer/registry，重跑全部受影响 Q0</w:t>
            </w:r>
          </w:p>
        </w:tc>
      </w:tr>
      <w:tr w14:paraId="2D1D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1" w:type="dxa"/>
            <w:vAlign w:val="center"/>
          </w:tcPr>
          <w:p w14:paraId="55B4D5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发布 Protocol Freeze/正式矩阵</w:t>
            </w:r>
          </w:p>
        </w:tc>
        <w:tc>
          <w:tcPr>
            <w:tcW w:w="5423" w:type="dxa"/>
            <w:vAlign w:val="center"/>
          </w:tcPr>
          <w:p w14:paraId="49C739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扩展 Q0 全通过；registry v1.0 与 commits 绑定；Pilot 数值 quality gates 冻结；共同 W 可行域与 G2 规则签字冻结</w:t>
            </w:r>
          </w:p>
        </w:tc>
        <w:tc>
          <w:tcPr>
            <w:tcW w:w="2641" w:type="dxa"/>
            <w:vAlign w:val="center"/>
          </w:tcPr>
          <w:p w14:paraId="659AE4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不得以更多 G 实验补偿 Q0 失败</w:t>
            </w:r>
          </w:p>
        </w:tc>
      </w:tr>
    </w:tbl>
    <w:p w14:paraId="2036029A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第四章　同步干预与比较必要性实验（N1）</w:t>
      </w:r>
    </w:p>
    <w:p w14:paraId="164D68C1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4.1 研究问题</w:t>
      </w:r>
    </w:p>
    <w:p w14:paraId="5FA76774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N1 不用于证明 analyzer 本身正确，而用于回答：在方法已经通过 Q0 后，传统 raw sync、GPU active/idle、launch-to-start 与事件数量是否足以判断用户新增时延；ExposedPath A/B 是否能识别等待迁移、隐藏进度变化和真实 E2E 增量。</w:t>
      </w:r>
    </w:p>
    <w:p w14:paraId="3B8FDFE4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N1 只在 Q0 通过后运行，用人为 completion-boundary intervention 检验局部 raw sync 是否足以代表 request-level 增量。G1 的自然逐 Token Token-ready 同步必须保持原行为并独立标识；Token 到文本、网络、前端和外部消费者不进入核心窗口。</w:t>
      </w:r>
    </w:p>
    <w:p w14:paraId="5F324DC9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4.2 实现边界与插入位置</w:t>
      </w:r>
    </w:p>
    <w:p w14:paraId="48E755E7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N1 候选干预限定在 C0=PyTorch eager，并以独立 NVTX/variant/callsite 标识插入同步。具体层位和频率先由 Engineering/Pilot 验证可审计性；干预不得进入 G1 自然 workload，也不得改变输出语义。</w:t>
      </w:r>
    </w:p>
    <w:p w14:paraId="1657D195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Forward hook 只作为备选，因为 Python 回调本身会改变 Host 路径；不得在 compile/graph 主路径中插入该同步，以免 graph break/capture failure 改变研究问题。</w:t>
      </w:r>
    </w:p>
    <w:p w14:paraId="2873BE17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4.3 版本与控制组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3906"/>
        <w:gridCol w:w="2247"/>
        <w:gridCol w:w="2002"/>
      </w:tblGrid>
      <w:tr w14:paraId="563A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27A12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版本</w:t>
            </w:r>
          </w:p>
        </w:tc>
        <w:tc>
          <w:tcPr>
            <w:tcW w:w="0" w:type="auto"/>
            <w:vAlign w:val="center"/>
          </w:tcPr>
          <w:p w14:paraId="1DC8BA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操作</w:t>
            </w:r>
          </w:p>
        </w:tc>
        <w:tc>
          <w:tcPr>
            <w:tcW w:w="0" w:type="auto"/>
            <w:vAlign w:val="center"/>
          </w:tcPr>
          <w:p w14:paraId="0F1BC5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主要目的</w:t>
            </w:r>
          </w:p>
        </w:tc>
        <w:tc>
          <w:tcPr>
            <w:tcW w:w="2002" w:type="dxa"/>
            <w:vAlign w:val="center"/>
          </w:tcPr>
          <w:p w14:paraId="5DF664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启动条件</w:t>
            </w:r>
          </w:p>
        </w:tc>
      </w:tr>
      <w:tr w14:paraId="054AC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2C5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V0</w:t>
            </w:r>
          </w:p>
        </w:tc>
        <w:tc>
          <w:tcPr>
            <w:tcW w:w="0" w:type="auto"/>
            <w:vAlign w:val="center"/>
          </w:tcPr>
          <w:p w14:paraId="69EAA9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原始执行</w:t>
            </w:r>
          </w:p>
        </w:tc>
        <w:tc>
          <w:tcPr>
            <w:tcW w:w="0" w:type="auto"/>
            <w:vAlign w:val="center"/>
          </w:tcPr>
          <w:p w14:paraId="54AA37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自然同步基线</w:t>
            </w:r>
          </w:p>
        </w:tc>
        <w:tc>
          <w:tcPr>
            <w:tcW w:w="2002" w:type="dxa"/>
            <w:vAlign w:val="center"/>
          </w:tcPr>
          <w:p w14:paraId="26663E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必做</w:t>
            </w:r>
          </w:p>
        </w:tc>
      </w:tr>
      <w:tr w14:paraId="5BF3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91C4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Vmarker</w:t>
            </w:r>
          </w:p>
        </w:tc>
        <w:tc>
          <w:tcPr>
            <w:tcW w:w="0" w:type="auto"/>
            <w:vAlign w:val="center"/>
          </w:tcPr>
          <w:p w14:paraId="506BE3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同一分支与 NVTX，仅不调用 synchronize</w:t>
            </w:r>
          </w:p>
        </w:tc>
        <w:tc>
          <w:tcPr>
            <w:tcW w:w="0" w:type="auto"/>
            <w:vAlign w:val="center"/>
          </w:tcPr>
          <w:p w14:paraId="4C3F1A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估计 Python 分支/marker 开销</w:t>
            </w:r>
          </w:p>
        </w:tc>
        <w:tc>
          <w:tcPr>
            <w:tcW w:w="2002" w:type="dxa"/>
            <w:vAlign w:val="center"/>
          </w:tcPr>
          <w:p w14:paraId="51BD6B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必做</w:t>
            </w:r>
          </w:p>
        </w:tc>
      </w:tr>
      <w:tr w14:paraId="089D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5540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V16</w:t>
            </w:r>
          </w:p>
        </w:tc>
        <w:tc>
          <w:tcPr>
            <w:tcW w:w="0" w:type="auto"/>
            <w:vAlign w:val="center"/>
          </w:tcPr>
          <w:p w14:paraId="0340BC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每个 Decode iteration 第 16 层后 current-stream sync</w:t>
            </w:r>
          </w:p>
        </w:tc>
        <w:tc>
          <w:tcPr>
            <w:tcW w:w="0" w:type="auto"/>
            <w:vAlign w:val="center"/>
          </w:tcPr>
          <w:p w14:paraId="3A9224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单点可行性与等待迁移 Pilot</w:t>
            </w:r>
          </w:p>
        </w:tc>
        <w:tc>
          <w:tcPr>
            <w:tcW w:w="2002" w:type="dxa"/>
            <w:vAlign w:val="center"/>
          </w:tcPr>
          <w:p w14:paraId="5EB8AC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先做</w:t>
            </w:r>
          </w:p>
        </w:tc>
      </w:tr>
      <w:tr w14:paraId="30DF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059A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V8 / V24</w:t>
            </w:r>
          </w:p>
        </w:tc>
        <w:tc>
          <w:tcPr>
            <w:tcW w:w="0" w:type="auto"/>
            <w:vAlign w:val="center"/>
          </w:tcPr>
          <w:p w14:paraId="38E4B7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第 8/24 层后独立插入；不是同版本多层同时插</w:t>
            </w:r>
          </w:p>
        </w:tc>
        <w:tc>
          <w:tcPr>
            <w:tcW w:w="0" w:type="auto"/>
            <w:vAlign w:val="center"/>
          </w:tcPr>
          <w:p w14:paraId="283DB8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检查干预位置敏感性</w:t>
            </w:r>
          </w:p>
        </w:tc>
        <w:tc>
          <w:tcPr>
            <w:tcW w:w="2002" w:type="dxa"/>
            <w:vAlign w:val="center"/>
          </w:tcPr>
          <w:p w14:paraId="57DD07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V16 有非平凡且稳定结果后启动</w:t>
            </w:r>
          </w:p>
        </w:tc>
      </w:tr>
      <w:tr w14:paraId="241F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BC1E7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Vnatural</w:t>
            </w:r>
          </w:p>
        </w:tc>
        <w:tc>
          <w:tcPr>
            <w:tcW w:w="0" w:type="auto"/>
            <w:vAlign w:val="center"/>
          </w:tcPr>
          <w:p w14:paraId="05601E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在原本自然 token-read/.item()/D2H 等待边界增加冗余 sync</w:t>
            </w:r>
          </w:p>
        </w:tc>
        <w:tc>
          <w:tcPr>
            <w:tcW w:w="0" w:type="auto"/>
            <w:vAlign w:val="center"/>
          </w:tcPr>
          <w:p w14:paraId="71C162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检验语义已满足时是否近零新增损失</w:t>
            </w:r>
          </w:p>
        </w:tc>
        <w:tc>
          <w:tcPr>
            <w:tcW w:w="2002" w:type="dxa"/>
            <w:vAlign w:val="center"/>
          </w:tcPr>
          <w:p w14:paraId="35B600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推荐控制</w:t>
            </w:r>
          </w:p>
        </w:tc>
      </w:tr>
      <w:tr w14:paraId="6891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0" w:type="dxa"/>
            <w:vAlign w:val="center"/>
          </w:tcPr>
          <w:p w14:paraId="351B35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Host-only control（可选）</w:t>
            </w:r>
          </w:p>
        </w:tc>
        <w:tc>
          <w:tcPr>
            <w:tcW w:w="3906" w:type="dxa"/>
            <w:vAlign w:val="center"/>
          </w:tcPr>
          <w:p w14:paraId="0C0FC7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执行同一 Python 包装但无 GPU 同步；必要时加入等量 host 延迟</w:t>
            </w:r>
          </w:p>
        </w:tc>
        <w:tc>
          <w:tcPr>
            <w:tcW w:w="2247" w:type="dxa"/>
            <w:vAlign w:val="center"/>
          </w:tcPr>
          <w:p w14:paraId="0E6CEE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区分包装开销与 GPU 同步语义</w:t>
            </w:r>
          </w:p>
        </w:tc>
        <w:tc>
          <w:tcPr>
            <w:tcW w:w="2002" w:type="dxa"/>
            <w:vAlign w:val="center"/>
          </w:tcPr>
          <w:p w14:paraId="3AC60F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只有 marker 开销不可忽略时</w:t>
            </w:r>
          </w:p>
        </w:tc>
      </w:tr>
    </w:tbl>
    <w:p w14:paraId="771339D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4.4 统一比较指标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3633"/>
        <w:gridCol w:w="2573"/>
        <w:gridCol w:w="1929"/>
      </w:tblGrid>
      <w:tr w14:paraId="38A8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58D83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分析层</w:t>
            </w:r>
          </w:p>
        </w:tc>
        <w:tc>
          <w:tcPr>
            <w:tcW w:w="0" w:type="auto"/>
            <w:vAlign w:val="center"/>
          </w:tcPr>
          <w:p w14:paraId="793E8B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指标</w:t>
            </w:r>
          </w:p>
        </w:tc>
        <w:tc>
          <w:tcPr>
            <w:tcW w:w="0" w:type="auto"/>
            <w:vAlign w:val="center"/>
          </w:tcPr>
          <w:p w14:paraId="56E128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能回答什么</w:t>
            </w:r>
          </w:p>
        </w:tc>
        <w:tc>
          <w:tcPr>
            <w:tcW w:w="1929" w:type="dxa"/>
            <w:vAlign w:val="center"/>
          </w:tcPr>
          <w:p w14:paraId="30DD3F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不能直接回答什么</w:t>
            </w:r>
          </w:p>
        </w:tc>
      </w:tr>
      <w:tr w14:paraId="2A2A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970FA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Raw sync</w:t>
            </w:r>
          </w:p>
        </w:tc>
        <w:tc>
          <w:tcPr>
            <w:tcW w:w="0" w:type="auto"/>
            <w:vAlign w:val="center"/>
          </w:tcPr>
          <w:p w14:paraId="5A677E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count、duration、p50/p95</w:t>
            </w:r>
          </w:p>
        </w:tc>
        <w:tc>
          <w:tcPr>
            <w:tcW w:w="0" w:type="auto"/>
            <w:vAlign w:val="center"/>
          </w:tcPr>
          <w:p w14:paraId="5A9D64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局部同步持续多久</w:t>
            </w:r>
          </w:p>
        </w:tc>
        <w:tc>
          <w:tcPr>
            <w:tcW w:w="1929" w:type="dxa"/>
            <w:vAlign w:val="center"/>
          </w:tcPr>
          <w:p w14:paraId="2CF317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新增完整 E2E</w:t>
            </w:r>
          </w:p>
        </w:tc>
      </w:tr>
      <w:tr w14:paraId="6A8E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4338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GPU active/idle</w:t>
            </w:r>
          </w:p>
        </w:tc>
        <w:tc>
          <w:tcPr>
            <w:tcW w:w="0" w:type="auto"/>
            <w:vAlign w:val="center"/>
          </w:tcPr>
          <w:p w14:paraId="03A8DC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active ratio、Host gap</w:t>
            </w:r>
          </w:p>
        </w:tc>
        <w:tc>
          <w:tcPr>
            <w:tcW w:w="0" w:type="auto"/>
            <w:vAlign w:val="center"/>
          </w:tcPr>
          <w:p w14:paraId="586616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设备是否活跃</w:t>
            </w:r>
          </w:p>
        </w:tc>
        <w:tc>
          <w:tcPr>
            <w:tcW w:w="1929" w:type="dxa"/>
            <w:vAlign w:val="center"/>
          </w:tcPr>
          <w:p w14:paraId="1EA866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具体 sync wait set</w:t>
            </w:r>
          </w:p>
        </w:tc>
      </w:tr>
      <w:tr w14:paraId="0BBB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D4407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Launch-to-start baseline</w:t>
            </w:r>
          </w:p>
        </w:tc>
        <w:tc>
          <w:tcPr>
            <w:tcW w:w="0" w:type="auto"/>
            <w:vAlign w:val="center"/>
          </w:tcPr>
          <w:p w14:paraId="31D3A6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 API→kernel start、post-return delay、mapping coverage</w:t>
            </w:r>
          </w:p>
        </w:tc>
        <w:tc>
          <w:tcPr>
            <w:tcW w:w="0" w:type="auto"/>
            <w:vAlign w:val="center"/>
          </w:tcPr>
          <w:p w14:paraId="4AD273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提交/排队窗口</w:t>
            </w:r>
          </w:p>
        </w:tc>
        <w:tc>
          <w:tcPr>
            <w:tcW w:w="1929" w:type="dxa"/>
            <w:vAlign w:val="center"/>
          </w:tcPr>
          <w:p w14:paraId="4F345C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该窗口是否暴露到用户墙钟</w:t>
            </w:r>
          </w:p>
        </w:tc>
      </w:tr>
      <w:tr w14:paraId="69D7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2A47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API/kernel count</w:t>
            </w:r>
          </w:p>
        </w:tc>
        <w:tc>
          <w:tcPr>
            <w:tcW w:w="0" w:type="auto"/>
            <w:vAlign w:val="center"/>
          </w:tcPr>
          <w:p w14:paraId="1321E2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事件数量</w:t>
            </w:r>
          </w:p>
        </w:tc>
        <w:tc>
          <w:tcPr>
            <w:tcW w:w="0" w:type="auto"/>
            <w:vAlign w:val="center"/>
          </w:tcPr>
          <w:p w14:paraId="61F447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执行结构是否变化</w:t>
            </w:r>
          </w:p>
        </w:tc>
        <w:tc>
          <w:tcPr>
            <w:tcW w:w="1929" w:type="dxa"/>
            <w:vAlign w:val="center"/>
          </w:tcPr>
          <w:p w14:paraId="0E251A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数量变化是否转化为 speedup</w:t>
            </w:r>
          </w:p>
        </w:tc>
      </w:tr>
      <w:tr w14:paraId="5133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C711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ExposedPath A</w:t>
            </w:r>
          </w:p>
        </w:tc>
        <w:tc>
          <w:tcPr>
            <w:tcW w:w="0" w:type="auto"/>
            <w:vAlign w:val="center"/>
          </w:tcPr>
          <w:p w14:paraId="57D2FC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五类 A、ΔA、D</w:t>
            </w:r>
          </w:p>
        </w:tc>
        <w:tc>
          <w:tcPr>
            <w:tcW w:w="0" w:type="auto"/>
            <w:vAlign w:val="center"/>
          </w:tcPr>
          <w:p w14:paraId="7D6F33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完整 Decode/request 增量落在哪里</w:t>
            </w:r>
          </w:p>
        </w:tc>
        <w:tc>
          <w:tcPr>
            <w:tcW w:w="1929" w:type="dxa"/>
            <w:vAlign w:val="center"/>
          </w:tcPr>
          <w:p w14:paraId="6D3469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单次同步局部 terminal 机制</w:t>
            </w:r>
          </w:p>
        </w:tc>
      </w:tr>
      <w:tr w14:paraId="7FD7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CC28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ExposedPath B</w:t>
            </w:r>
          </w:p>
        </w:tc>
        <w:tc>
          <w:tcPr>
            <w:tcW w:w="0" w:type="auto"/>
            <w:vAlign w:val="center"/>
          </w:tcPr>
          <w:p w14:paraId="2A455D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wait set、hidden、overlap、tail、callsite distribution</w:t>
            </w:r>
          </w:p>
        </w:tc>
        <w:tc>
          <w:tcPr>
            <w:tcW w:w="0" w:type="auto"/>
            <w:vAlign w:val="center"/>
          </w:tcPr>
          <w:p w14:paraId="4123D1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等待是迁移、新增还是隐藏进度减少</w:t>
            </w:r>
          </w:p>
        </w:tc>
        <w:tc>
          <w:tcPr>
            <w:tcW w:w="1929" w:type="dxa"/>
            <w:vAlign w:val="center"/>
          </w:tcPr>
          <w:p w14:paraId="716F97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不能跨 sync 直接求和</w:t>
            </w:r>
          </w:p>
        </w:tc>
      </w:tr>
      <w:tr w14:paraId="360B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0" w:type="dxa"/>
            <w:vAlign w:val="center"/>
          </w:tcPr>
          <w:p w14:paraId="009B80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Pass 0</w:t>
            </w:r>
          </w:p>
        </w:tc>
        <w:tc>
          <w:tcPr>
            <w:tcW w:w="3633" w:type="dxa"/>
            <w:vAlign w:val="center"/>
          </w:tcPr>
          <w:p w14:paraId="7FCE66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E2E/phase latency</w:t>
            </w:r>
          </w:p>
        </w:tc>
        <w:tc>
          <w:tcPr>
            <w:tcW w:w="2573" w:type="dxa"/>
            <w:vAlign w:val="center"/>
          </w:tcPr>
          <w:p w14:paraId="404E2A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真实用户结果</w:t>
            </w:r>
          </w:p>
        </w:tc>
        <w:tc>
          <w:tcPr>
            <w:tcW w:w="1929" w:type="dxa"/>
            <w:vAlign w:val="center"/>
          </w:tcPr>
          <w:p w14:paraId="14D2A2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内部机制</w:t>
            </w:r>
          </w:p>
        </w:tc>
      </w:tr>
    </w:tbl>
    <w:p w14:paraId="57892596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4.5 成功、降级与停止条件</w:t>
      </w:r>
    </w:p>
    <w:p w14:paraId="33D77E38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强信息增量证据的一种可能表现是：干预 callsite 的局部等待增加，而后续自然同步、hidden progress 或 request-level ΔE2E 不按局部 raw sync 一比一变化。该现象不是必需成功条件，必须超过冻结噪声与 profiler overhead 后才能解释。</w:t>
      </w:r>
    </w:p>
    <w:p w14:paraId="3FB42FF1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若干预破坏提前提交并产生真实新增 E2E，A/B 能闭合描述新增路径，也可形成有效压力案例；若传统 raw sync 已足够解释，则应报告该场景的信息等价边界。</w:t>
      </w:r>
    </w:p>
    <w:p w14:paraId="42EA7F2D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若所有变体中 raw sync 与 request-level 增量近似一一对应，N1 降级为鲁棒性/边界结果，不声称传统指标不可替代。</w:t>
      </w:r>
    </w:p>
    <w:p w14:paraId="1CB7C0EB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若候选干预没有稳定可观察差异、marker 开销不可控、输出不一致或 stream/callsite 无法唯一审计，则停止扩展干预，不以增加变体追求正结果。</w:t>
      </w:r>
    </w:p>
    <w:p w14:paraId="3014D482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第五章　正式与补充实验组（G1–G7）</w:t>
      </w:r>
    </w:p>
    <w:p w14:paraId="768426A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5.1 G1：自然工作负载中的信息增量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8817"/>
      </w:tblGrid>
      <w:tr w14:paraId="0289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88" w:type="dxa"/>
            <w:shd w:val="clear" w:color="auto" w:fill="D9EAF7"/>
            <w:vAlign w:val="center"/>
          </w:tcPr>
          <w:p w14:paraId="17C930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817" w:type="dxa"/>
            <w:shd w:val="clear" w:color="auto" w:fill="D9EAF7"/>
            <w:vAlign w:val="center"/>
          </w:tcPr>
          <w:p w14:paraId="5FA0A7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7F630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1E9F4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817" w:type="dxa"/>
            <w:vAlign w:val="center"/>
          </w:tcPr>
          <w:p w14:paraId="4E0172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M0=Qwen2.5-7B-Instruct BF16；C0=PyTorch eager；同一 revision、input_ids、KV cache、greedy decoding 和 attention backend。</w:t>
            </w:r>
          </w:p>
        </w:tc>
      </w:tr>
      <w:tr w14:paraId="0685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124F6E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817" w:type="dxa"/>
            <w:vAlign w:val="center"/>
          </w:tcPr>
          <w:p w14:paraId="3850F5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W01–W22 的输入 token、输出 token、Batch；平台分别为 P0=RTX 4090 与 P1=RTX 6000 Ada。</w:t>
            </w:r>
          </w:p>
        </w:tc>
      </w:tr>
      <w:tr w14:paraId="3282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63321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817" w:type="dxa"/>
            <w:vAlign w:val="center"/>
          </w:tcPr>
          <w:p>
            <w:r>
              <w:rPr/>
              <w:t>22 个 W×2 个平台=22×2 个候选端点；Pilot 后冻结实际 Formal 数量。</w:t>
            </w:r>
          </w:p>
        </w:tc>
      </w:tr>
      <w:tr w14:paraId="757E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5F83E0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817" w:type="dxa"/>
            <w:vAlign w:val="center"/>
          </w:tcPr>
          <w:p w14:paraId="204010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Pass 0：E2E 时延、可无扰动获得的 Prefill/Decode 时延、吞吐。Pass 1：Raw API/kernel/MemOp/sync；A 五类绝对值与占比；D_margin/D_score+CI；B terminal 与 coverage；质量门。</w:t>
            </w:r>
          </w:p>
        </w:tc>
      </w:tr>
      <w:tr w14:paraId="3B96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2E6927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817" w:type="dxa"/>
            <w:vAlign w:val="center"/>
          </w:tcPr>
          <w:p w14:paraId="0E9F30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确定输入、输出、Batch、phase 和 GPU 平台如何改变 Host/API/device-wait 暴露结构。</w:t>
            </w:r>
          </w:p>
        </w:tc>
      </w:tr>
      <w:tr w14:paraId="4683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7D9E7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817" w:type="dxa"/>
            <w:vAlign w:val="center"/>
          </w:tcPr>
          <w:p w14:paraId="1D9939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44 点通过质量门；至少能观察到可重复的条件化变化，或窄 CI 支持某些区间结构稳定。无需所有指标都显著。</w:t>
            </w:r>
          </w:p>
        </w:tc>
      </w:tr>
      <w:tr w14:paraId="57295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122097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817" w:type="dxa"/>
            <w:vAlign w:val="center"/>
          </w:tcPr>
          <w:p w14:paraId="1A4B78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给出本地 LLM 暴露时延随工作负载变化的结构图谱；这是核心实证结论。</w:t>
            </w:r>
          </w:p>
        </w:tc>
      </w:tr>
    </w:tbl>
    <w:p w14:paraId="767424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D9F2659">
      <w:pPr>
        <w:pStyle w:val="5"/>
        <w:keepNext/>
        <w:pageBreakBefore w:val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5.1.1 G1 代表点 GPU 机制审计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8657"/>
      </w:tblGrid>
      <w:tr w14:paraId="438D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vAlign w:val="center"/>
          </w:tcPr>
          <w:p w14:paraId="08F8C95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w="8657" w:type="dxa"/>
            <w:vAlign w:val="center"/>
          </w:tcPr>
          <w:p w14:paraId="25CE0AB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冻结建议</w:t>
            </w:r>
          </w:p>
        </w:tc>
      </w:tr>
      <w:tr w14:paraId="088E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2CE7D7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固定条件</w:t>
            </w:r>
          </w:p>
        </w:tc>
        <w:tc>
          <w:tcPr>
            <w:tcW w:w="8657" w:type="dxa"/>
            <w:vAlign w:val="center"/>
          </w:tcPr>
          <w:p w14:paraId="6353AA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M0、C0、P1；优先 S1、S3、S5，Pilot 后可选 S4 或 S6</w:t>
            </w:r>
          </w:p>
        </w:tc>
      </w:tr>
      <w:tr w14:paraId="7F1A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756A88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采集方式</w:t>
            </w:r>
          </w:p>
        </w:tc>
        <w:tc>
          <w:tcPr>
            <w:tcW w:w="8657" w:type="dxa"/>
            <w:vAlign w:val="center"/>
          </w:tcPr>
          <w:p w14:paraId="7622F3E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独立 Nsight Compute/机制审计 Pass；不与正式 Nsight Systems Pass 1 混采</w:t>
            </w:r>
          </w:p>
        </w:tc>
      </w:tr>
      <w:tr w14:paraId="6576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6D23A5F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少量指标</w:t>
            </w:r>
          </w:p>
        </w:tc>
        <w:tc>
          <w:tcPr>
            <w:tcW w:w="8657" w:type="dxa"/>
            <w:vAlign w:val="center"/>
          </w:tcPr>
          <w:p w14:paraId="141D8B4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SM activity、DRAM bandwidth utilization、arithmetic intensity/Roofline、主要 kernel 类别；必要时 selected stall metrics</w:t>
            </w:r>
          </w:p>
        </w:tc>
      </w:tr>
      <w:tr w14:paraId="32C9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8C31DF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研究目的</w:t>
            </w:r>
          </w:p>
        </w:tc>
        <w:tc>
          <w:tcPr>
            <w:tcW w:w="8657" w:type="dxa"/>
            <w:vAlign w:val="center"/>
          </w:tcPr>
          <w:p w14:paraId="4A532F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解释 A_device_wait 变化与设备侧计算/带宽/kernel 粒度变化是否一致，而不是由 A_device_wait 直接推断微架构根因</w:t>
            </w:r>
          </w:p>
        </w:tc>
      </w:tr>
      <w:tr w14:paraId="4E47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7512B67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成功判据</w:t>
            </w:r>
          </w:p>
        </w:tc>
        <w:tc>
          <w:tcPr>
            <w:tcW w:w="8657" w:type="dxa"/>
            <w:vAlign w:val="center"/>
          </w:tcPr>
          <w:p w14:paraId="5BB140C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为至少两类明显不同的 A_device_wait 响应提供一致性证据，或形成清晰的“暴露结构不能仅由 GPU 内部指标解释”的边界结论</w:t>
            </w:r>
          </w:p>
        </w:tc>
      </w:tr>
      <w:tr w14:paraId="15AD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F1663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规模边界</w:t>
            </w:r>
          </w:p>
        </w:tc>
        <w:tc>
          <w:tcPr>
            <w:tcW w:w="8657" w:type="dxa"/>
            <w:vAlign w:val="center"/>
          </w:tcPr>
          <w:p w14:paraId="55F74E7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不扩展到 22 W×双 GPU×双模型的全量机制采集</w:t>
            </w:r>
          </w:p>
        </w:tc>
      </w:tr>
    </w:tbl>
    <w:p w14:paraId="2FECAED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5.2 G2：同栈优化响应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7859"/>
      </w:tblGrid>
      <w:tr w14:paraId="2F30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BE43C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504" w:type="dxa"/>
            <w:shd w:val="clear" w:color="auto" w:fill="D9EAF7"/>
            <w:vAlign w:val="center"/>
          </w:tcPr>
          <w:p w14:paraId="118EAD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6685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09AA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504" w:type="dxa"/>
            <w:vAlign w:val="center"/>
          </w:tcPr>
          <w:p w14:paraId="2C595B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W=S1–S6；M0=Qwen2.5-7B-Instruct BF16；P=P0/P1；input_ids、revision、生成协议和 backend 相同。</w:t>
            </w:r>
          </w:p>
        </w:tc>
      </w:tr>
      <w:tr w14:paraId="6784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26D8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504" w:type="dxa"/>
            <w:vAlign w:val="center"/>
          </w:tcPr>
          <w:p w14:paraId="4428F8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C0=PyTorch eager；C1=torch.compile(mode='reduce-overhead')。</w:t>
            </w:r>
          </w:p>
        </w:tc>
      </w:tr>
      <w:tr w14:paraId="6DBD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56B4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504" w:type="dxa"/>
            <w:vAlign w:val="center"/>
          </w:tcPr>
          <w:p w14:paraId="0E5A92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W×2 P×2 C=24 个比较端点；复用 12 个 C0，只新增 12 个 C1。</w:t>
            </w:r>
          </w:p>
        </w:tc>
      </w:tr>
      <w:tr w14:paraId="7E62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1147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504" w:type="dxa"/>
            <w:vAlign w:val="center"/>
          </w:tcPr>
          <w:p w14:paraId="60A7C2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speedup、latency、throughput；A_host_path/A_cuda_api/A_device_wait；D_score；API/kernel 数量；graph break/capture coverage；输出一致性。</w:t>
            </w:r>
          </w:p>
        </w:tc>
      </w:tr>
      <w:tr w14:paraId="2DBD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C0C8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504" w:type="dxa"/>
            <w:vAlign w:val="center"/>
          </w:tcPr>
          <w:p w14:paraId="06F7B2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检验基线暴露结构能否解释哪些 workload 更适合 compile 优化。</w:t>
            </w:r>
          </w:p>
        </w:tc>
      </w:tr>
      <w:tr w14:paraId="115A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8A48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504" w:type="dxa"/>
            <w:vAlign w:val="center"/>
          </w:tcPr>
          <w:p w14:paraId="47FBDA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C1 稳定且输出一致；不同 sentinel 的 speedup 与基线 A/D 存在可解释关系，或明确显示收益受限。</w:t>
            </w:r>
          </w:p>
        </w:tc>
      </w:tr>
      <w:tr w14:paraId="15524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CA02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504" w:type="dxa"/>
            <w:vAlign w:val="center"/>
          </w:tcPr>
          <w:p w14:paraId="6552BD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使 ExposedPath 从“描述工具”提升为“优化适用范围解释工具”。G2 不是最低必需，但稳定时最值得加入。</w:t>
            </w:r>
          </w:p>
        </w:tc>
      </w:tr>
    </w:tbl>
    <w:p w14:paraId="5E4DCF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16D1EEF1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5.2.1 G2 留出验证、baseline 与 ΔA 闭环</w:t>
      </w:r>
    </w:p>
    <w:p w14:paraId="0357F0C9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G2 的主预测量、方向判据、held-out 单元和 baseline 必须在 Formal C0/C1 数据前写入 analysis plan。本版保留旧方案作为候选，不宣告预注册完成；Pilot 只验证可行性与噪声。</w:t>
      </w:r>
    </w:p>
    <w:p w14:paraId="4156C4A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候选 G2_score=A_host_path_ms+A_cuda_api_submit_ms 仅代表待审查的 Host/API 可压缩预算假设，不是 speedup 上界或 measurement definition。若 Measurement Contract/Pilot 发现其不可操作，应在 Formal 前明确删除或版本化修订，不能看完 Formal 结果后调整。</w:t>
      </w:r>
    </w:p>
    <w:p w14:paraId="28C2B08D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候选 baseline 包括 API count、kernel count、total kernel duration、raw sync duration、GPU active ratio 与 launch-to-start；最终集合必须在 Protocol Freeze 中固定，并与 ExposedPath 使用相同配对数据。</w:t>
      </w:r>
    </w:p>
    <w:p w14:paraId="4DCAB2C5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响应 accounting 候选为 ΔT 与各 A 类变化，并检查 ΣΔA≈ΔT；该闭合用于变化 QA，不证明因果。</w:t>
      </w:r>
    </w:p>
    <w:p w14:paraId="2A75F190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机制标签只允许由冻结 A/B 与实际干预响应派生；标签集合和判定规则必须在 Formal 前固定。</w:t>
      </w:r>
    </w:p>
    <w:p w14:paraId="3BFC5EDE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方向、排序、区间或其他 G2 结果指标必须由 Pilot 的可行性与统计设计预先确定；不得把单个 sync 或 kernel 当独立样本。</w:t>
      </w:r>
    </w:p>
    <w:p w14:paraId="3E88148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只有 held-out 结果相对冻结 baseline 提供稳定增量，并且 ΔA 与实际 ΔT/主要收缩类别一致时，才能声称 Decision Gain。否则删除预测/决策主张，只保留响应 accounting 或负结果。</w:t>
      </w:r>
    </w:p>
    <w:p w14:paraId="21F948A4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正式干预优先限定为同栈 eager→compile/graph。POD-Attention、APEX、SPIN、offloading 等只用于讨论机制空间，不自动增加当前矩阵。</w:t>
      </w:r>
    </w:p>
    <w:p w14:paraId="7F1A4E9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5.3 G3：同家族模型规模泛化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8631"/>
      </w:tblGrid>
      <w:tr w14:paraId="0A44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4F900EB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631" w:type="dxa"/>
            <w:shd w:val="clear" w:color="auto" w:fill="D9EAF7"/>
            <w:vAlign w:val="center"/>
          </w:tcPr>
          <w:p w14:paraId="0D2D3CF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4A7D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709E0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631" w:type="dxa"/>
            <w:vAlign w:val="center"/>
          </w:tcPr>
          <w:p w14:paraId="4BEDF4C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W=S1–S6；P=P1；C0；BF16；同系列 tokenizer 和生成协议。</w:t>
            </w:r>
          </w:p>
        </w:tc>
      </w:tr>
      <w:tr w14:paraId="31BC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A5523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631" w:type="dxa"/>
            <w:vAlign w:val="center"/>
          </w:tcPr>
          <w:p w14:paraId="068F952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M0=Qwen2.5-7B-Instruct；M1=Qwen2.5-14B-Instruct。</w:t>
            </w:r>
          </w:p>
        </w:tc>
      </w:tr>
      <w:tr w14:paraId="53BB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55BFC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631" w:type="dxa"/>
            <w:vAlign w:val="center"/>
          </w:tcPr>
          <w:p w14:paraId="53D0C2F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W×2 M=12 个端点；复用 6 个 M0，新增 6 个 M1。</w:t>
            </w:r>
          </w:p>
        </w:tc>
      </w:tr>
      <w:tr w14:paraId="2449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75685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631" w:type="dxa"/>
            <w:vAlign w:val="center"/>
          </w:tcPr>
          <w:p w14:paraId="78AE8A6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时延、吞吐、A/D、per-token API/kernel/sync、显存占用。</w:t>
            </w:r>
          </w:p>
        </w:tc>
      </w:tr>
      <w:tr w14:paraId="27F9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B41201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631" w:type="dxa"/>
            <w:vAlign w:val="center"/>
          </w:tcPr>
          <w:p w14:paraId="7D0729A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判断 G1 规律是否跨 7B→14B 模型规模成立。</w:t>
            </w:r>
          </w:p>
        </w:tc>
      </w:tr>
      <w:tr w14:paraId="492C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vAlign w:val="center"/>
          </w:tcPr>
          <w:p w14:paraId="5E06DF5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631" w:type="dxa"/>
            <w:vAlign w:val="center"/>
          </w:tcPr>
          <w:p w14:paraId="0C59288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区分跨规模稳定规律与模型规模依赖；差异小也可作为所测范围内稳定性证据。</w:t>
            </w:r>
          </w:p>
        </w:tc>
      </w:tr>
    </w:tbl>
    <w:p w14:paraId="02D7D9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FE469DB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5.3.1 G3 结果分类与最低成功判据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6988"/>
      </w:tblGrid>
      <w:tr w14:paraId="1D8D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24F93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结果类型</w:t>
            </w:r>
          </w:p>
        </w:tc>
        <w:tc>
          <w:tcPr>
            <w:tcW w:w="6988" w:type="dxa"/>
            <w:vAlign w:val="center"/>
          </w:tcPr>
          <w:p w14:paraId="52F135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论文处理</w:t>
            </w:r>
          </w:p>
        </w:tc>
      </w:tr>
      <w:tr w14:paraId="26559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423C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跨规模稳定</w:t>
            </w:r>
          </w:p>
        </w:tc>
        <w:tc>
          <w:tcPr>
            <w:tcW w:w="6988" w:type="dxa"/>
            <w:vAlign w:val="center"/>
          </w:tcPr>
          <w:p w14:paraId="4A9C46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核心 W 迁移与主导关系在 7B/14B 上方向一致，作为泛化证据</w:t>
            </w:r>
          </w:p>
        </w:tc>
      </w:tr>
      <w:tr w14:paraId="00E8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6A13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部分稳定、部分规模依赖</w:t>
            </w:r>
          </w:p>
        </w:tc>
        <w:tc>
          <w:tcPr>
            <w:tcW w:w="6988" w:type="dxa"/>
            <w:vAlign w:val="center"/>
          </w:tcPr>
          <w:p w14:paraId="56A690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报告稳定规律与发生改变的边界，并用 kernel/API 粒度变化解释</w:t>
            </w:r>
          </w:p>
        </w:tc>
      </w:tr>
      <w:tr w14:paraId="7BA2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1C36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趋势不完全一致但可解释</w:t>
            </w:r>
          </w:p>
        </w:tc>
        <w:tc>
          <w:tcPr>
            <w:tcW w:w="6988" w:type="dxa"/>
            <w:vAlign w:val="center"/>
          </w:tcPr>
          <w:p w14:paraId="4ED786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将模型规模作为适用边界，不要求 14B 机械复现 7B 的全部结果</w:t>
            </w:r>
          </w:p>
        </w:tc>
      </w:tr>
      <w:tr w14:paraId="75B9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3" w:type="dxa"/>
            <w:vAlign w:val="center"/>
          </w:tcPr>
          <w:p w14:paraId="75545A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高度不规则且无法解释</w:t>
            </w:r>
          </w:p>
        </w:tc>
        <w:tc>
          <w:tcPr>
            <w:tcW w:w="6988" w:type="dxa"/>
            <w:vAlign w:val="center"/>
          </w:tcPr>
          <w:p w14:paraId="4B1E69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降低泛化 claim，保留方法正确性与单模型 characterization 主线</w:t>
            </w:r>
          </w:p>
        </w:tc>
      </w:tr>
    </w:tbl>
    <w:p w14:paraId="716076C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5.4 G4：完整平台外部有效性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8671"/>
      </w:tblGrid>
      <w:tr w14:paraId="4F11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2618CD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671" w:type="dxa"/>
            <w:shd w:val="clear" w:color="auto" w:fill="D9EAF7"/>
            <w:vAlign w:val="center"/>
          </w:tcPr>
          <w:p w14:paraId="6521CC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3481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C9F8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671" w:type="dxa"/>
            <w:vAlign w:val="center"/>
          </w:tcPr>
          <w:p w14:paraId="01816A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W=S1–S6；Msmall=Qwen2.5-1.5B-Instruct BF16；C0；同一 input_ids 和生成协议。</w:t>
            </w:r>
          </w:p>
        </w:tc>
      </w:tr>
      <w:tr w14:paraId="67A9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767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671" w:type="dxa"/>
            <w:vAlign w:val="center"/>
          </w:tcPr>
          <w:p w14:paraId="7B0430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P0、P1、P2 三个完整平台 endpoint。</w:t>
            </w:r>
          </w:p>
        </w:tc>
      </w:tr>
      <w:tr w14:paraId="4E42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472E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671" w:type="dxa"/>
            <w:vAlign w:val="center"/>
          </w:tcPr>
          <w:p w14:paraId="0057CA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W×3 P=18 个正式 WMPC，全部重采。</w:t>
            </w:r>
          </w:p>
        </w:tc>
      </w:tr>
      <w:tr w14:paraId="4D5E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B0BC8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671" w:type="dxa"/>
            <w:vAlign w:val="center"/>
          </w:tcPr>
          <w:p w14:paraId="6741C3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时延、吞吐、A/D、Raw 结构、B coverage、平台环境和资源质量。</w:t>
            </w:r>
          </w:p>
        </w:tc>
      </w:tr>
      <w:tr w14:paraId="0E33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901CC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671" w:type="dxa"/>
            <w:vAlign w:val="center"/>
          </w:tcPr>
          <w:p w14:paraId="1C0793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验证方法和工作负载规律是否只适用于同一高端主机。</w:t>
            </w:r>
          </w:p>
        </w:tc>
      </w:tr>
      <w:tr w14:paraId="333B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0" w:type="dxa"/>
            <w:vAlign w:val="center"/>
          </w:tcPr>
          <w:p w14:paraId="5A06E5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671" w:type="dxa"/>
            <w:vAlign w:val="center"/>
          </w:tcPr>
          <w:p w14:paraId="6AA535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形成跨高端/中低端完整平台的外部有效性；P2 CPU 不同，不作纯 GPU 因果解释。</w:t>
            </w:r>
          </w:p>
        </w:tc>
      </w:tr>
    </w:tbl>
    <w:p w14:paraId="665FD5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4936AE64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G3/G4 只在 Q0、N1/G1、G2 主线完成后按论文 claim 选择一个必要适用边界。G5–G7、MoE、量化、llama.cpp 和额外逐 Token 窗口分析均进入后续扩展池，不影响核心进度。</w:t>
      </w:r>
    </w:p>
    <w:p w14:paraId="55818FB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5.5 G5：MoE 语义与路由补充组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8367"/>
      </w:tblGrid>
      <w:tr w14:paraId="2B57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025791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367" w:type="dxa"/>
            <w:shd w:val="clear" w:color="auto" w:fill="D9EAF7"/>
            <w:vAlign w:val="center"/>
          </w:tcPr>
          <w:p w14:paraId="025632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0249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6037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367" w:type="dxa"/>
            <w:vAlign w:val="center"/>
          </w:tcPr>
          <w:p w14:paraId="5AC57D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Mmoe=Qwen1.5-MoE-A2.7B-Chat BF16；P=P1；C0=PyTorch eager；Batch=1；输出=32；greedy decoding。</w:t>
            </w:r>
          </w:p>
        </w:tc>
      </w:tr>
      <w:tr w14:paraId="5F57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A7E91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367" w:type="dxa"/>
            <w:vAlign w:val="center"/>
          </w:tcPr>
          <w:p w14:paraId="53BF23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输入长度={512,2048}；语义类型={代码、数学推理、事实问答、叙事文本}；每种语义每个长度准备 6 条不同 prompt，并严格裁剪为相同 token 数。</w:t>
            </w:r>
          </w:p>
        </w:tc>
      </w:tr>
      <w:tr w14:paraId="71CF4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212D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367" w:type="dxa"/>
            <w:vAlign w:val="center"/>
          </w:tcPr>
          <w:p w14:paraId="656F2F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 类语义×2 长度×6 prompt=48 个 prompt-level 条件；统计单位是 prompt instance，而不是只把 48 条混成一个均值。</w:t>
            </w:r>
          </w:p>
        </w:tc>
      </w:tr>
      <w:tr w14:paraId="6D2E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85D8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367" w:type="dxa"/>
            <w:vAlign w:val="center"/>
          </w:tcPr>
          <w:p w14:paraId="02A327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 Pass 采 A/D/B、时延和 Raw；另做独立 routing audit，读取每层 router logits/Top-k expert，计算 expert token count、负载熵、max/mean load 和跨层不均衡。</w:t>
            </w:r>
          </w:p>
        </w:tc>
      </w:tr>
      <w:tr w14:paraId="2FDD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5737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为什么独立 routing audit</w:t>
            </w:r>
          </w:p>
        </w:tc>
        <w:tc>
          <w:tcPr>
            <w:tcW w:w="8367" w:type="dxa"/>
            <w:vAlign w:val="center"/>
          </w:tcPr>
          <w:p w14:paraId="54FDA3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在正式 Pass 0/1 中返回 router logits 可能增加内存和执行扰动，因此路由观测与正式性能采集分开，使用同一 prompt 重放。</w:t>
            </w:r>
          </w:p>
        </w:tc>
      </w:tr>
      <w:tr w14:paraId="64F0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E295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367" w:type="dxa"/>
            <w:vAlign w:val="center"/>
          </w:tcPr>
          <w:p w14:paraId="0F4208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判断在 token 数完全相同的情况下，语义是否改变专家选择和负载不均衡，并进一步关联到 kernel、同步和 A/D 变化。</w:t>
            </w:r>
          </w:p>
        </w:tc>
      </w:tr>
      <w:tr w14:paraId="10C4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254C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367" w:type="dxa"/>
            <w:vAlign w:val="center"/>
          </w:tcPr>
          <w:p w14:paraId="00D27B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不同语义类别的路由分布有可重复差异；路由负载指标与 A/D 的变化方向可解释。若无差异，可报告路由与暴露结构在所测语义下稳定。</w:t>
            </w:r>
          </w:p>
        </w:tc>
      </w:tr>
      <w:tr w14:paraId="068D2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8" w:type="dxa"/>
            <w:vAlign w:val="center"/>
          </w:tcPr>
          <w:p w14:paraId="465156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论文定位</w:t>
            </w:r>
          </w:p>
        </w:tc>
        <w:tc>
          <w:tcPr>
            <w:tcW w:w="8367" w:type="dxa"/>
            <w:vAlign w:val="center"/>
          </w:tcPr>
          <w:p w14:paraId="69AAD4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机制型补充实验：语义→专家路由→执行暴露结构。不是核心论文成立的必要条件。</w:t>
            </w:r>
          </w:p>
        </w:tc>
      </w:tr>
    </w:tbl>
    <w:p w14:paraId="5201A9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26640F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5.6 G6：量化表示与执行路径补充组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816"/>
      </w:tblGrid>
      <w:tr w14:paraId="121D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89" w:type="dxa"/>
            <w:shd w:val="clear" w:color="auto" w:fill="D9EAF7"/>
            <w:vAlign w:val="center"/>
          </w:tcPr>
          <w:p w14:paraId="5D8EBC1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816" w:type="dxa"/>
            <w:shd w:val="clear" w:color="auto" w:fill="D9EAF7"/>
            <w:vAlign w:val="center"/>
          </w:tcPr>
          <w:p w14:paraId="5D2E5EA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492D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498EBDE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816" w:type="dxa"/>
            <w:vAlign w:val="center"/>
          </w:tcPr>
          <w:p w14:paraId="3775C06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模型语义均来自 Qwen2.5-7B-Instruct；P=P1；引擎固定为 llama.cpp CUDA；W=S1–S6；单进程；固定 GPU offload、线程、context、greedy 和 flash-attention 设置。</w:t>
            </w:r>
          </w:p>
        </w:tc>
      </w:tr>
      <w:tr w14:paraId="7E87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1FC395D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816" w:type="dxa"/>
            <w:vAlign w:val="center"/>
          </w:tcPr>
          <w:p w14:paraId="42CA66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官方 GGUF：F16、Q8_0、Q4_K_M。</w:t>
            </w:r>
          </w:p>
        </w:tc>
      </w:tr>
      <w:tr w14:paraId="370F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3116DCB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816" w:type="dxa"/>
            <w:vAlign w:val="center"/>
          </w:tcPr>
          <w:p w14:paraId="34428DA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W×3 表示=18 个比较端点。</w:t>
            </w:r>
          </w:p>
        </w:tc>
      </w:tr>
      <w:tr w14:paraId="0FBB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3D4C744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816" w:type="dxa"/>
            <w:vAlign w:val="center"/>
          </w:tcPr>
          <w:p w14:paraId="1B636D8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时延、吞吐、显存；A/D/B；kernel/MemOp 类型和粒度；quant/dequant 相关 kernel；API/sync 数量。</w:t>
            </w:r>
          </w:p>
        </w:tc>
      </w:tr>
      <w:tr w14:paraId="5E07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0CF26A3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816" w:type="dxa"/>
            <w:vAlign w:val="center"/>
          </w:tcPr>
          <w:p w14:paraId="17660CF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在同一 llama.cpp 引擎内，观察权重精度和量化 kernel 如何改变 GPU 工作粒度、内存活动和暴露结构。</w:t>
            </w:r>
          </w:p>
        </w:tc>
      </w:tr>
      <w:tr w14:paraId="49C9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3D888B1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816" w:type="dxa"/>
            <w:vAlign w:val="center"/>
          </w:tcPr>
          <w:p w14:paraId="466F7D3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F16→Q8→Q4 的性能、显存和 A/D 变化具有可重复趋势，或明确显示某些 workload 量化并不加速。</w:t>
            </w:r>
          </w:p>
        </w:tc>
      </w:tr>
      <w:tr w14:paraId="5EDA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591A72B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论文边界</w:t>
            </w:r>
          </w:p>
        </w:tc>
        <w:tc>
          <w:tcPr>
            <w:tcW w:w="8816" w:type="dxa"/>
            <w:vAlign w:val="center"/>
          </w:tcPr>
          <w:p w14:paraId="732C685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这不是纯数学精度实验，因为量化同时改变 kernel 实现；应称“模型表示与量化执行路径”比较。</w:t>
            </w:r>
          </w:p>
        </w:tc>
      </w:tr>
    </w:tbl>
    <w:p w14:paraId="4C05DC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63AAB53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5.7 G7：PyTorch eager 与 llama.cpp 完整栈端点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8814"/>
      </w:tblGrid>
      <w:tr w14:paraId="7738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1" w:type="dxa"/>
            <w:shd w:val="clear" w:color="auto" w:fill="D9EAF7"/>
            <w:vAlign w:val="center"/>
          </w:tcPr>
          <w:p w14:paraId="34BBC0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814" w:type="dxa"/>
            <w:shd w:val="clear" w:color="auto" w:fill="D9EAF7"/>
            <w:vAlign w:val="center"/>
          </w:tcPr>
          <w:p w14:paraId="2BABDD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603D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51ECF7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814" w:type="dxa"/>
            <w:vAlign w:val="center"/>
          </w:tcPr>
          <w:p w14:paraId="3CEE1C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P=P1；Qwen2.5-7B-Instruct 同一 revision；FP16 权重；Batch=1；input_ids、输出 token、greedy 和 KV cache 语义一致。</w:t>
            </w:r>
          </w:p>
        </w:tc>
      </w:tr>
      <w:tr w14:paraId="5262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5792EC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814" w:type="dxa"/>
            <w:vAlign w:val="center"/>
          </w:tcPr>
          <w:p w14:paraId="5ED0A0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E0=Transformers/PyTorch 手写 eager FP16；E1=llama.cpp CUDA + 官方 F16 GGUF + 全层 GPU offload。</w:t>
            </w:r>
          </w:p>
        </w:tc>
      </w:tr>
      <w:tr w14:paraId="367E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362D3B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建议 W</w:t>
            </w:r>
          </w:p>
        </w:tc>
        <w:tc>
          <w:tcPr>
            <w:tcW w:w="8814" w:type="dxa"/>
            <w:vAlign w:val="center"/>
          </w:tcPr>
          <w:p w14:paraId="5AC4FB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E1=(128,16,1)、E2=(2048,16,1)、E3=(512,256,1)、E4=(2048,256,1)，共 4 个机制点。</w:t>
            </w:r>
          </w:p>
        </w:tc>
      </w:tr>
      <w:tr w14:paraId="0707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20811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814" w:type="dxa"/>
            <w:vAlign w:val="center"/>
          </w:tcPr>
          <w:p w14:paraId="46E4A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 W×2 引擎=8 个比较端点。</w:t>
            </w:r>
          </w:p>
        </w:tc>
      </w:tr>
      <w:tr w14:paraId="5939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32DD2F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814" w:type="dxa"/>
            <w:vAlign w:val="center"/>
          </w:tcPr>
          <w:p w14:paraId="29249A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时延、吞吐；A/D/B；CUDA API/kernel/MemOp/sync 数量；代表性 timeline；引擎配置和实际 GPU offload。</w:t>
            </w:r>
          </w:p>
        </w:tc>
      </w:tr>
      <w:tr w14:paraId="5FB8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62AA0B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814" w:type="dxa"/>
            <w:vAlign w:val="center"/>
          </w:tcPr>
          <w:p w14:paraId="568BAC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比较两个完整本地推理 endpoint 如何组织 Host 调度、CUDA 提交、kernel 和同步。</w:t>
            </w:r>
          </w:p>
        </w:tc>
      </w:tr>
      <w:tr w14:paraId="6346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6BF0A5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814" w:type="dxa"/>
            <w:vAlign w:val="center"/>
          </w:tcPr>
          <w:p w14:paraId="3555D7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两种引擎在至少部分 workload 上呈现稳定、可解释的结构差异；即使时延接近，Raw/A/B 差异仍可构成系统结论。</w:t>
            </w:r>
          </w:p>
        </w:tc>
      </w:tr>
      <w:tr w14:paraId="04F0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7B1489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论文边界</w:t>
            </w:r>
          </w:p>
        </w:tc>
        <w:tc>
          <w:tcPr>
            <w:tcW w:w="8814" w:type="dxa"/>
            <w:vAlign w:val="center"/>
          </w:tcPr>
          <w:p w14:paraId="53350C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PyTorch 与 llama.cpp 同时改变模型格式、算子实现、调度和内存管理，因此只能称完整引擎 endpoint 对比，不能声称纯引擎因果。</w:t>
            </w:r>
          </w:p>
        </w:tc>
      </w:tr>
    </w:tbl>
    <w:p w14:paraId="4BB271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75B5079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5.8 核心证据包与可选适用边界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2980"/>
        <w:gridCol w:w="5445"/>
      </w:tblGrid>
      <w:tr w14:paraId="26D1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E6AE8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版本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7C929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包含的实验组</w:t>
            </w:r>
          </w:p>
        </w:tc>
        <w:tc>
          <w:tcPr>
            <w:tcW w:w="5445" w:type="dxa"/>
            <w:shd w:val="clear" w:color="auto" w:fill="D9EAF7"/>
            <w:vAlign w:val="center"/>
          </w:tcPr>
          <w:p w14:paraId="17DEF6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能够支持的论文结论</w:t>
            </w:r>
          </w:p>
        </w:tc>
      </w:tr>
      <w:tr w14:paraId="6AAF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核心可成文证据包</w:t>
            </w:r>
          </w:p>
        </w:tc>
        <w:tc>
          <w:tcPr>
            <w:tcW w:w="0" w:type="auto"/>
            <w:vAlign w:val="center"/>
          </w:tcPr>
          <w:p>
            <w:r>
              <w:rPr/>
              <w:t>Q0 + G1（N1 作为必要性/边界压力证据）</w:t>
            </w:r>
          </w:p>
        </w:tc>
        <w:tc>
          <w:tcPr>
            <w:tcW w:w="5445" w:type="dxa"/>
            <w:vAlign w:val="center"/>
          </w:tcPr>
          <w:p>
            <w:r>
              <w:rPr/>
              <w:t>支持正确性与自然 workload 信息边界；论文等级取决于 G1 的信息增量，不预先承诺投稿层级</w:t>
            </w:r>
          </w:p>
        </w:tc>
      </w:tr>
      <w:tr w14:paraId="3AD4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高质量核心包</w:t>
            </w:r>
          </w:p>
        </w:tc>
        <w:tc>
          <w:tcPr>
            <w:tcW w:w="0" w:type="auto"/>
            <w:vAlign w:val="center"/>
          </w:tcPr>
          <w:p>
            <w:r>
              <w:rPr/>
              <w:t>Q0 + N1 + G1 + 有效 G2</w:t>
            </w:r>
          </w:p>
        </w:tc>
        <w:tc>
          <w:tcPr>
            <w:tcW w:w="5445" w:type="dxa"/>
            <w:vAlign w:val="center"/>
          </w:tcPr>
          <w:p>
            <w:r>
              <w:rPr/>
              <w:t>Correctness、Information Gain 与 Decision Gain 均有证据</w:t>
            </w:r>
          </w:p>
        </w:tc>
      </w:tr>
      <w:tr w14:paraId="4D72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适用边界增强包</w:t>
            </w:r>
          </w:p>
        </w:tc>
        <w:tc>
          <w:tcPr>
            <w:tcW w:w="0" w:type="auto"/>
            <w:vAlign w:val="center"/>
          </w:tcPr>
          <w:p>
            <w:r>
              <w:rPr/>
              <w:t>高质量核心包 + G3/G4 中必要的一项</w:t>
            </w:r>
          </w:p>
        </w:tc>
        <w:tc>
          <w:tcPr>
            <w:tcW w:w="5445" w:type="dxa"/>
            <w:vAlign w:val="center"/>
          </w:tcPr>
          <w:p>
            <w:r>
              <w:rPr/>
              <w:t>增加一个明确的模型或平台适用边界</w:t>
            </w:r>
          </w:p>
        </w:tc>
      </w:tr>
      <w:tr w14:paraId="613D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进一步增强</w:t>
            </w:r>
          </w:p>
        </w:tc>
        <w:tc>
          <w:tcPr>
            <w:tcW w:w="0" w:type="auto"/>
            <w:vAlign w:val="center"/>
          </w:tcPr>
          <w:p>
            <w:r>
              <w:rPr/>
              <w:t>仅在主线完成后选择 G3/G4 的另一项</w:t>
            </w:r>
          </w:p>
        </w:tc>
        <w:tc>
          <w:tcPr>
            <w:tcW w:w="5445" w:type="dxa"/>
            <w:vAlign w:val="center"/>
          </w:tcPr>
          <w:p>
            <w:r>
              <w:rPr/>
              <w:t>不得挤占主证据链，也不自动扩大方法 claim</w:t>
            </w:r>
          </w:p>
        </w:tc>
      </w:tr>
      <w:tr w14:paraId="7038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0" w:type="dxa"/>
            <w:vAlign w:val="center"/>
          </w:tcPr>
          <w:p>
            <w:r>
              <w:rPr/>
              <w:t>后续扩展池</w:t>
            </w:r>
          </w:p>
        </w:tc>
        <w:tc>
          <w:tcPr>
            <w:tcW w:w="2980" w:type="dxa"/>
            <w:vAlign w:val="center"/>
          </w:tcPr>
          <w:p>
            <w:r>
              <w:rPr/>
              <w:t>G5–G7、MoE、量化、跨引擎、额外平台</w:t>
            </w:r>
          </w:p>
        </w:tc>
        <w:tc>
          <w:tcPr>
            <w:tcW w:w="5445" w:type="dxa"/>
            <w:vAlign w:val="center"/>
          </w:tcPr>
          <w:p>
            <w:r>
              <w:rPr/>
              <w:t>当前不执行；另行形成研究问题与协议版本</w:t>
            </w:r>
          </w:p>
        </w:tc>
      </w:tr>
    </w:tbl>
    <w:p w14:paraId="28ADFE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16BBDFB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5.9 Pre-Pilot 就绪检查表</w:t>
      </w:r>
    </w:p>
    <w:p w14:paraId="7D7834F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Measurement Contract 尚未完成：sync universe、required fields、default-stream、completion scope、W(s)、terminal、validity 和原因码仍需版本化审查。</w:t>
      </w:r>
    </w:p>
    <w:p w14:paraId="49F1FC4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新版 analyzer 尚未实现符合 v1.4.1 的 S/A/B；旧 VALID_* 与 accounting 不能计入当前 Gate。</w:t>
      </w:r>
    </w:p>
    <w:p w14:paraId="5B56AD8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Q0 独立 oracle 与真实受控 CUDA trace 尚未完成；合成单元测试不能替代 Q0。</w:t>
      </w:r>
    </w:p>
    <w:p w14:paraId="7BBB5C9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W01–W22、S1–S6、模型、平台、repeat 与阈值仍是 Pre-Pilot 候选；必须经平台资格、OOM/可行域和 Pilot 冻结。</w:t>
      </w:r>
    </w:p>
    <w:p w14:paraId="50C1B84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G2_score、held-out P1 与 baseline 仍是待审查候选，尚未完成 Formal 前预注册。</w:t>
      </w:r>
    </w:p>
    <w:p w14:paraId="308696A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当前先完成 Measurement Contract→Q0 oracle→Canonical Raw→S→A/B；Q0 通过并完成 runner 对齐后才能进入 Engineering Pilot。</w:t>
      </w:r>
    </w:p>
    <w:p w14:paraId="00A77688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固定执行顺序：Gate0 Prototype 封存→Gate1 Measurement Contract→Gate2 Q0 oracle→Gate3 Canonical Raw→Gate4 S→Gate5 A/B/D/Signature→Gate6 Q0→Gate7 runner→Gate8 Engineering Pilot→Gate9–12 平台/可行域/Pilot/Freeze→Gate13 N1/G1→Gate14 G2。</w:t>
      </w:r>
    </w:p>
    <w:p w14:paraId="40C6A4B0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第六章　Baseline、统计质量、输出 Schema 与停止规则</w:t>
      </w:r>
    </w:p>
    <w:p w14:paraId="4A46E24C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6.1 Launch-to-start 与其他传统 Baseline 的精确定义</w:t>
      </w:r>
    </w:p>
    <w:p w14:paraId="1D0EECD9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本文实现中使用中性名称 launch-to-start latency baseline，而不直接宣称完整复现 TKLQT。只纳入 correlation 唯一、context/stream 一致、launch–kernel mapping 明确且时间顺序合法的配对。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5"/>
        <w:gridCol w:w="3306"/>
        <w:gridCol w:w="1851"/>
        <w:gridCol w:w="1643"/>
      </w:tblGrid>
      <w:tr w14:paraId="2062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01F78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字段/指标</w:t>
            </w:r>
          </w:p>
        </w:tc>
        <w:tc>
          <w:tcPr>
            <w:tcW w:w="2890" w:type="dxa"/>
            <w:vAlign w:val="center"/>
          </w:tcPr>
          <w:p w14:paraId="4B57E69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定义</w:t>
            </w:r>
          </w:p>
        </w:tc>
        <w:tc>
          <w:tcPr>
            <w:tcW w:w="2098" w:type="dxa"/>
            <w:vAlign w:val="center"/>
          </w:tcPr>
          <w:p w14:paraId="5361A7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repeat/phase内汇总</w:t>
            </w:r>
          </w:p>
        </w:tc>
        <w:tc>
          <w:tcPr>
            <w:tcW w:w="1812" w:type="dxa"/>
            <w:vAlign w:val="center"/>
          </w:tcPr>
          <w:p w14:paraId="2E11610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边界</w:t>
            </w:r>
          </w:p>
        </w:tc>
      </w:tr>
      <w:tr w14:paraId="3717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62911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launch_api_duration_ms</w:t>
            </w:r>
          </w:p>
        </w:tc>
        <w:tc>
          <w:tcPr>
            <w:tcW w:w="2890" w:type="dxa"/>
            <w:vAlign w:val="center"/>
          </w:tcPr>
          <w:p w14:paraId="016700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 API end−start</w:t>
            </w:r>
          </w:p>
        </w:tc>
        <w:tc>
          <w:tcPr>
            <w:tcW w:w="2098" w:type="dxa"/>
            <w:vAlign w:val="center"/>
          </w:tcPr>
          <w:p w14:paraId="436D380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sum、mean、median、p95、per-token</w:t>
            </w:r>
          </w:p>
        </w:tc>
        <w:tc>
          <w:tcPr>
            <w:tcW w:w="1812" w:type="dxa"/>
            <w:vAlign w:val="center"/>
          </w:tcPr>
          <w:p w14:paraId="09BE9E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Host/runtime 调用窗口</w:t>
            </w:r>
          </w:p>
        </w:tc>
      </w:tr>
      <w:tr w14:paraId="4E4C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25E6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launch_to_kernel_start_ms</w:t>
            </w:r>
          </w:p>
        </w:tc>
        <w:tc>
          <w:tcPr>
            <w:tcW w:w="2890" w:type="dxa"/>
            <w:vAlign w:val="center"/>
          </w:tcPr>
          <w:p w14:paraId="7262CB5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kernel.start−launch_api.start</w:t>
            </w:r>
          </w:p>
        </w:tc>
        <w:tc>
          <w:tcPr>
            <w:tcW w:w="2098" w:type="dxa"/>
            <w:vAlign w:val="center"/>
          </w:tcPr>
          <w:p w14:paraId="2CA6E5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sum、mean、median、p95、per-token</w:t>
            </w:r>
          </w:p>
        </w:tc>
        <w:tc>
          <w:tcPr>
            <w:tcW w:w="1812" w:type="dxa"/>
            <w:vAlign w:val="center"/>
          </w:tcPr>
          <w:p w14:paraId="000B602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API+排队/前置执行总窗口，不等于暴露 E2E</w:t>
            </w:r>
          </w:p>
        </w:tc>
      </w:tr>
      <w:tr w14:paraId="22D3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206E9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post_api_return_to_kernel_start_ms</w:t>
            </w:r>
          </w:p>
        </w:tc>
        <w:tc>
          <w:tcPr>
            <w:tcW w:w="2890" w:type="dxa"/>
            <w:vAlign w:val="center"/>
          </w:tcPr>
          <w:p w14:paraId="7C3CB3D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kernel.start−launch_api.end，仅 POST_API_START</w:t>
            </w:r>
          </w:p>
        </w:tc>
        <w:tc>
          <w:tcPr>
            <w:tcW w:w="2098" w:type="dxa"/>
            <w:vAlign w:val="center"/>
          </w:tcPr>
          <w:p w14:paraId="11F87A2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sum、median、p95、正值比例</w:t>
            </w:r>
          </w:p>
        </w:tc>
        <w:tc>
          <w:tcPr>
            <w:tcW w:w="1812" w:type="dxa"/>
            <w:vAlign w:val="center"/>
          </w:tcPr>
          <w:p w14:paraId="65BF80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不能简单命名 GPU queue 根因</w:t>
            </w:r>
          </w:p>
        </w:tc>
      </w:tr>
      <w:tr w14:paraId="4EF4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3E880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launch_relation_status</w:t>
            </w:r>
          </w:p>
        </w:tc>
        <w:tc>
          <w:tcPr>
            <w:tcW w:w="2890" w:type="dxa"/>
            <w:vAlign w:val="center"/>
          </w:tcPr>
          <w:p w14:paraId="118327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POST_API_START / STARTED_BEFORE_API_RETURN / MISSING / AMBIGUOUS / GRAPH_UNSUPPORTED</w:t>
            </w:r>
          </w:p>
        </w:tc>
        <w:tc>
          <w:tcPr>
            <w:tcW w:w="2098" w:type="dxa"/>
            <w:vAlign w:val="center"/>
          </w:tcPr>
          <w:p w14:paraId="4F464D5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数量、比例、mapping coverage</w:t>
            </w:r>
          </w:p>
        </w:tc>
        <w:tc>
          <w:tcPr>
            <w:tcW w:w="1812" w:type="dxa"/>
            <w:vAlign w:val="center"/>
          </w:tcPr>
          <w:p w14:paraId="446266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负值不裁剪成 0；按状态报告</w:t>
            </w:r>
          </w:p>
        </w:tc>
      </w:tr>
      <w:tr w14:paraId="2491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5" w:type="dxa"/>
            <w:vAlign w:val="center"/>
          </w:tcPr>
          <w:p w14:paraId="17EF1B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Raw sync / GPU active / counts</w:t>
            </w:r>
          </w:p>
        </w:tc>
        <w:tc>
          <w:tcPr>
            <w:tcW w:w="2890" w:type="dxa"/>
            <w:vAlign w:val="center"/>
          </w:tcPr>
          <w:p w14:paraId="03A954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duration/count、active/idle、API/kernel 数量</w:t>
            </w:r>
          </w:p>
        </w:tc>
        <w:tc>
          <w:tcPr>
            <w:tcW w:w="2098" w:type="dxa"/>
            <w:vAlign w:val="center"/>
          </w:tcPr>
          <w:p w14:paraId="34F0B2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repeat/phase 汇总后跨 repeat CI</w:t>
            </w:r>
          </w:p>
        </w:tc>
        <w:tc>
          <w:tcPr>
            <w:tcW w:w="1812" w:type="dxa"/>
            <w:vAlign w:val="center"/>
          </w:tcPr>
          <w:p w14:paraId="1D85680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回答事件/活跃问题，不直接回答新增用户时延</w:t>
            </w:r>
          </w:p>
        </w:tc>
      </w:tr>
    </w:tbl>
    <w:p w14:paraId="41BC74CC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不得把数百万个 kernel pair 当作独立统计样本。正式推断单位仍为 repeat/phase；kernel-level 分布只作描述，跨条件 CI 以 repeat 为重采样单位。</w:t>
      </w:r>
    </w:p>
    <w:p w14:paraId="54C0C0A3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6.2 统计与质量门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5360"/>
        <w:gridCol w:w="2582"/>
      </w:tblGrid>
      <w:tr w14:paraId="1BCB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406BD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54BFF4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冻结规则</w:t>
            </w:r>
          </w:p>
        </w:tc>
        <w:tc>
          <w:tcPr>
            <w:tcW w:w="2582" w:type="dxa"/>
            <w:vAlign w:val="center"/>
          </w:tcPr>
          <w:p w14:paraId="18235B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失败处理</w:t>
            </w:r>
          </w:p>
        </w:tc>
      </w:tr>
      <w:tr w14:paraId="0EFF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77C8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推断单位</w:t>
            </w:r>
          </w:p>
        </w:tc>
        <w:tc>
          <w:tcPr>
            <w:tcW w:w="0" w:type="auto"/>
            <w:vAlign w:val="center"/>
          </w:tcPr>
          <w:p w14:paraId="127FF8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Latency/A/D 为 repeat/phase；B 使用 sync-weighted 描述和 repeat-cluster 推断</w:t>
            </w:r>
          </w:p>
        </w:tc>
        <w:tc>
          <w:tcPr>
            <w:tcW w:w="2582" w:type="dxa"/>
            <w:vAlign w:val="center"/>
          </w:tcPr>
          <w:p w14:paraId="79BD79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禁止把同 invocation sync 当独立样本</w:t>
            </w:r>
          </w:p>
        </w:tc>
      </w:tr>
      <w:tr w14:paraId="156A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9FEA0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Bootstrap</w:t>
            </w:r>
          </w:p>
        </w:tc>
        <w:tc>
          <w:tcPr>
            <w:tcW w:w="0" w:type="auto"/>
            <w:vAlign w:val="center"/>
          </w:tcPr>
          <w:p w14:paraId="146E34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repeat-level 或 repeat-cluster percentile bootstrap；随机种子与脚本冻结</w:t>
            </w:r>
          </w:p>
        </w:tc>
        <w:tc>
          <w:tcPr>
            <w:tcW w:w="2582" w:type="dxa"/>
            <w:vAlign w:val="center"/>
          </w:tcPr>
          <w:p w14:paraId="6C5053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不因 CI 跨 0 单点补采</w:t>
            </w:r>
          </w:p>
        </w:tc>
      </w:tr>
      <w:tr w14:paraId="5A98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1E73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Profiler overhead</w:t>
            </w:r>
          </w:p>
        </w:tc>
        <w:tc>
          <w:tcPr>
            <w:tcW w:w="0" w:type="auto"/>
            <w:vAlign w:val="center"/>
          </w:tcPr>
          <w:p>
            <w:r>
              <w:rPr/>
              <w:t>接受目标、硬门和重采政策由 Pilot 根据噪声、成本与 trace 规模冻结</w:t>
            </w:r>
          </w:p>
        </w:tc>
        <w:tc>
          <w:tcPr>
            <w:tcW w:w="2582" w:type="dxa"/>
            <w:vAlign w:val="center"/>
          </w:tcPr>
          <w:p w14:paraId="618789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超门槛降低 trace 开销并按 block 重采</w:t>
            </w:r>
          </w:p>
        </w:tc>
      </w:tr>
      <w:tr w14:paraId="4763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DE39A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Partition invariant</w:t>
            </w:r>
          </w:p>
        </w:tc>
        <w:tc>
          <w:tcPr>
            <w:tcW w:w="0" w:type="auto"/>
            <w:vAlign w:val="center"/>
          </w:tcPr>
          <w:p w14:paraId="39E7A8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duplicate=0 ns、final uncovered=0 ns、out-of-window=0 ns、negative valid=0</w:t>
            </w:r>
          </w:p>
        </w:tc>
        <w:tc>
          <w:tcPr>
            <w:tcW w:w="2582" w:type="dxa"/>
            <w:vAlign w:val="center"/>
          </w:tcPr>
          <w:p w14:paraId="133FAD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任一失败则 analyzer 不具备资格</w:t>
            </w:r>
          </w:p>
        </w:tc>
      </w:tr>
      <w:tr w14:paraId="415D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BFA6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A_unattributed / coverage</w:t>
            </w:r>
          </w:p>
        </w:tc>
        <w:tc>
          <w:tcPr>
            <w:tcW w:w="0" w:type="auto"/>
            <w:vAlign w:val="center"/>
          </w:tcPr>
          <w:p>
            <w:r>
              <w:rPr/>
              <w:t>Pilot 冻结 A_unattributed、supported duration 和 B-valid 门槛；全量报告原因</w:t>
            </w:r>
          </w:p>
        </w:tc>
        <w:tc>
          <w:tcPr>
            <w:tcW w:w="2582" w:type="dxa"/>
            <w:vAlign w:val="center"/>
          </w:tcPr>
          <w:p w14:paraId="1C531D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低于门槛的 WMPC 不进入强机制结论</w:t>
            </w:r>
          </w:p>
        </w:tc>
      </w:tr>
      <w:tr w14:paraId="74BD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9C6A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二级分类</w:t>
            </w:r>
          </w:p>
        </w:tc>
        <w:tc>
          <w:tcPr>
            <w:tcW w:w="0" w:type="auto"/>
            <w:vAlign w:val="center"/>
          </w:tcPr>
          <w:p>
            <w:r>
              <w:rPr/>
              <w:t>整数 ns 闭合；API/activity classification coverage 门由 Pilot 冻结，不预设 99%</w:t>
            </w:r>
          </w:p>
        </w:tc>
        <w:tc>
          <w:tcPr>
            <w:tcW w:w="2582" w:type="dxa"/>
            <w:vAlign w:val="center"/>
          </w:tcPr>
          <w:p w14:paraId="28A3C1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低覆盖时只报告一级 A</w:t>
            </w:r>
          </w:p>
        </w:tc>
      </w:tr>
      <w:tr w14:paraId="7B1F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0B56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数据完整性</w:t>
            </w:r>
          </w:p>
        </w:tc>
        <w:tc>
          <w:tcPr>
            <w:tcW w:w="0" w:type="auto"/>
            <w:vAlign w:val="center"/>
          </w:tcPr>
          <w:p w14:paraId="7B5C26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dropped=0、NVTX=100%、request-owned bleed=0、输出 token 一致</w:t>
            </w:r>
          </w:p>
        </w:tc>
        <w:tc>
          <w:tcPr>
            <w:tcW w:w="2582" w:type="dxa"/>
            <w:vAlign w:val="center"/>
          </w:tcPr>
          <w:p w14:paraId="56930C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失败 repeat 排除并按预定义 block 重跑</w:t>
            </w:r>
          </w:p>
        </w:tc>
      </w:tr>
      <w:tr w14:paraId="08CA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3" w:type="dxa"/>
            <w:vAlign w:val="center"/>
          </w:tcPr>
          <w:p w14:paraId="094D4B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代码冻结</w:t>
            </w:r>
          </w:p>
        </w:tc>
        <w:tc>
          <w:tcPr>
            <w:tcW w:w="5360" w:type="dxa"/>
            <w:vAlign w:val="center"/>
          </w:tcPr>
          <w:p w14:paraId="08D5D4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runner/analyzer dirty=false，registry/oracle/schema tag 固定</w:t>
            </w:r>
          </w:p>
        </w:tc>
        <w:tc>
          <w:tcPr>
            <w:tcW w:w="2582" w:type="dxa"/>
            <w:vAlign w:val="center"/>
          </w:tcPr>
          <w:p w14:paraId="5B81B4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版本变化新建数据集</w:t>
            </w:r>
          </w:p>
        </w:tc>
      </w:tr>
    </w:tbl>
    <w:p w14:paraId="239ED41E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6.3 输出 Schema 与字段迁移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3719"/>
        <w:gridCol w:w="3616"/>
      </w:tblGrid>
      <w:tr w14:paraId="6D70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F22E36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旧/当前字段</w:t>
            </w:r>
          </w:p>
        </w:tc>
        <w:tc>
          <w:tcPr>
            <w:tcW w:w="0" w:type="auto"/>
            <w:vAlign w:val="center"/>
          </w:tcPr>
          <w:p w14:paraId="4C3F66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正式主字段</w:t>
            </w:r>
          </w:p>
        </w:tc>
        <w:tc>
          <w:tcPr>
            <w:tcW w:w="3616" w:type="dxa"/>
            <w:vAlign w:val="center"/>
          </w:tcPr>
          <w:p w14:paraId="17787F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迁移与null规则</w:t>
            </w:r>
          </w:p>
        </w:tc>
      </w:tr>
      <w:tr w14:paraId="44A4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EDA26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B_predecessor_ms</w:t>
            </w:r>
          </w:p>
        </w:tc>
        <w:tc>
          <w:tcPr>
            <w:tcW w:w="0" w:type="auto"/>
            <w:vAlign w:val="center"/>
          </w:tcPr>
          <w:p w14:paraId="0FF2A35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terminal_post_api_predecessor_ms</w:t>
            </w:r>
          </w:p>
        </w:tc>
        <w:tc>
          <w:tcPr>
            <w:tcW w:w="3616" w:type="dxa"/>
            <w:vAlign w:val="center"/>
          </w:tcPr>
          <w:p w14:paraId="46D0D5E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 status=POST_API_START 时计算；其他状态 null</w:t>
            </w:r>
          </w:p>
        </w:tc>
      </w:tr>
      <w:tr w14:paraId="7C25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1C93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B_stream_gap_ms</w:t>
            </w:r>
          </w:p>
        </w:tc>
        <w:tc>
          <w:tcPr>
            <w:tcW w:w="0" w:type="auto"/>
            <w:vAlign w:val="center"/>
          </w:tcPr>
          <w:p w14:paraId="3DA545F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terminal_post_api_uncovered_gap_ms</w:t>
            </w:r>
          </w:p>
        </w:tc>
        <w:tc>
          <w:tcPr>
            <w:tcW w:w="3616" w:type="dxa"/>
            <w:vAlign w:val="center"/>
          </w:tcPr>
          <w:p w14:paraId="7AD214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强调未知 gap，不命名 GPU queue</w:t>
            </w:r>
          </w:p>
        </w:tc>
      </w:tr>
      <w:tr w14:paraId="27361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B899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旧 terminal_ready_delay_ms</w:t>
            </w:r>
          </w:p>
        </w:tc>
        <w:tc>
          <w:tcPr>
            <w:tcW w:w="0" w:type="auto"/>
            <w:vAlign w:val="center"/>
          </w:tcPr>
          <w:p w14:paraId="7CCEBB6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terminal_post_api_start_delay_ms</w:t>
            </w:r>
          </w:p>
        </w:tc>
        <w:tc>
          <w:tcPr>
            <w:tcW w:w="3616" w:type="dxa"/>
            <w:vAlign w:val="center"/>
          </w:tcPr>
          <w:p w14:paraId="0DB0518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 POST_API_START 时等于 predecessor+uncovered gap</w:t>
            </w:r>
          </w:p>
        </w:tc>
      </w:tr>
      <w:tr w14:paraId="031A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9905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旧 terminal_submit_end</w:t>
            </w:r>
          </w:p>
        </w:tc>
        <w:tc>
          <w:tcPr>
            <w:tcW w:w="0" w:type="auto"/>
            <w:vAlign w:val="center"/>
          </w:tcPr>
          <w:p w14:paraId="58E198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terminal_launch_api_end_ns</w:t>
            </w:r>
          </w:p>
        </w:tc>
        <w:tc>
          <w:tcPr>
            <w:tcW w:w="3616" w:type="dxa"/>
            <w:vAlign w:val="center"/>
          </w:tcPr>
          <w:p w14:paraId="4D8863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表示 Host API 返回边界，不称真实 submit completion</w:t>
            </w:r>
          </w:p>
        </w:tc>
      </w:tr>
      <w:tr w14:paraId="2297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127B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611CBBA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terminal_launch_relation_status</w:t>
            </w:r>
          </w:p>
        </w:tc>
        <w:tc>
          <w:tcPr>
            <w:tcW w:w="3616" w:type="dxa"/>
            <w:vAlign w:val="center"/>
          </w:tcPr>
          <w:p w14:paraId="64EDBC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POST_API_START、STARTED_BEFORE_API_RETURN、MISSING/AMBIGUOUS/UNSUPPORTED</w:t>
            </w:r>
          </w:p>
        </w:tc>
      </w:tr>
      <w:tr w14:paraId="09D2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E8A9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B_self_ms</w:t>
            </w:r>
          </w:p>
        </w:tc>
        <w:tc>
          <w:tcPr>
            <w:tcW w:w="0" w:type="auto"/>
            <w:vAlign w:val="center"/>
          </w:tcPr>
          <w:p w14:paraId="3C338E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terminal_exec_total_ms</w:t>
            </w:r>
          </w:p>
        </w:tc>
        <w:tc>
          <w:tcPr>
            <w:tcW w:w="3616" w:type="dxa"/>
            <w:vAlign w:val="center"/>
          </w:tcPr>
          <w:p w14:paraId="561732C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保留 legacy alias 一版；不等于 sync 阻塞</w:t>
            </w:r>
          </w:p>
        </w:tc>
      </w:tr>
      <w:tr w14:paraId="66F0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D5EE5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device_overlap_with_sync_ms</w:t>
            </w:r>
          </w:p>
        </w:tc>
        <w:tc>
          <w:tcPr>
            <w:tcW w:w="0" w:type="auto"/>
            <w:vAlign w:val="center"/>
          </w:tcPr>
          <w:p w14:paraId="038FCAD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terminal_exec_overlap_sync_ms</w:t>
            </w:r>
          </w:p>
        </w:tc>
        <w:tc>
          <w:tcPr>
            <w:tcW w:w="3616" w:type="dxa"/>
            <w:vAlign w:val="center"/>
          </w:tcPr>
          <w:p w14:paraId="20F24ED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仅当旧字段确实只针对 terminal 时迁移</w:t>
            </w:r>
          </w:p>
        </w:tc>
      </w:tr>
      <w:tr w14:paraId="6C2A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A288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5A7533D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terminal_exec_pre_sync_ms / terminal_hidden_fraction</w:t>
            </w:r>
          </w:p>
        </w:tc>
        <w:tc>
          <w:tcPr>
            <w:tcW w:w="3616" w:type="dxa"/>
            <w:vAlign w:val="center"/>
          </w:tcPr>
          <w:p w14:paraId="379BBE4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由 terminal 与 sync.start 派生</w:t>
            </w:r>
          </w:p>
        </w:tc>
      </w:tr>
      <w:tr w14:paraId="4E21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A2D68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2925EA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terminal_exec_post_sync_ms</w:t>
            </w:r>
          </w:p>
        </w:tc>
        <w:tc>
          <w:tcPr>
            <w:tcW w:w="3616" w:type="dxa"/>
            <w:vAlign w:val="center"/>
          </w:tcPr>
          <w:p w14:paraId="7061A99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只作 ordering validation</w:t>
            </w:r>
          </w:p>
        </w:tc>
      </w:tr>
      <w:tr w14:paraId="5FD6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57D4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42DC66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D_margin_ms / D_score / dominance_state</w:t>
            </w:r>
          </w:p>
        </w:tc>
        <w:tc>
          <w:tcPr>
            <w:tcW w:w="3616" w:type="dxa"/>
            <w:vAlign w:val="center"/>
          </w:tcPr>
          <w:p w14:paraId="2063A0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repeat/phase 派生，不新增墙钟预算</w:t>
            </w:r>
          </w:p>
        </w:tc>
      </w:tr>
      <w:tr w14:paraId="0CE0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1050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2F68F6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supported_sync_count/duration_coverage_pct</w:t>
            </w:r>
          </w:p>
        </w:tc>
        <w:tc>
          <w:tcPr>
            <w:tcW w:w="3616" w:type="dxa"/>
            <w:vAlign w:val="center"/>
          </w:tcPr>
          <w:p w14:paraId="7C192C4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以阶段内全部 physical blocking sync 为分母</w:t>
            </w:r>
          </w:p>
        </w:tc>
      </w:tr>
      <w:tr w14:paraId="2F72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67CFC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A_host_path</w:t>
            </w:r>
          </w:p>
        </w:tc>
        <w:tc>
          <w:tcPr>
            <w:tcW w:w="0" w:type="auto"/>
            <w:vAlign w:val="center"/>
          </w:tcPr>
          <w:p w14:paraId="076E431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A_host_path（名称保留）</w:t>
            </w:r>
          </w:p>
        </w:tc>
        <w:tc>
          <w:tcPr>
            <w:tcW w:w="3616" w:type="dxa"/>
            <w:vAlign w:val="center"/>
          </w:tcPr>
          <w:p w14:paraId="4FD1C04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方案 A 的剩余型请求 Host 路径；不等价于 CPU busy time</w:t>
            </w:r>
          </w:p>
        </w:tc>
      </w:tr>
      <w:tr w14:paraId="1118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A085E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393AB43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partition_duplicate_ns / partition_uncovered_ns / out_of_window_ns</w:t>
            </w:r>
          </w:p>
        </w:tc>
        <w:tc>
          <w:tcPr>
            <w:tcW w:w="3616" w:type="dxa"/>
            <w:vAlign w:val="center"/>
          </w:tcPr>
          <w:p w14:paraId="4BD774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实现不变量；正式要求为 0 ns</w:t>
            </w:r>
          </w:p>
        </w:tc>
      </w:tr>
      <w:tr w14:paraId="3C5A6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vAlign w:val="center"/>
          </w:tcPr>
          <w:p w14:paraId="372119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3719" w:type="dxa"/>
            <w:vAlign w:val="center"/>
          </w:tcPr>
          <w:p w14:paraId="1E525EA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oracle_version / registry_version</w:t>
            </w:r>
          </w:p>
        </w:tc>
        <w:tc>
          <w:tcPr>
            <w:tcW w:w="3616" w:type="dxa"/>
            <w:vAlign w:val="center"/>
          </w:tcPr>
          <w:p w14:paraId="55A2B6F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写入 manifest 与每条 Q0 结果</w:t>
            </w:r>
          </w:p>
        </w:tc>
      </w:tr>
    </w:tbl>
    <w:p w14:paraId="5C1B8632">
      <w:pPr>
        <w:pStyle w:val="4"/>
        <w:pageBreakBefore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6.4 成功、停止、降级与 Claim 映射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6532"/>
      </w:tblGrid>
      <w:tr w14:paraId="19BE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7A268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结果</w:t>
            </w:r>
          </w:p>
        </w:tc>
        <w:tc>
          <w:tcPr>
            <w:tcW w:w="6532" w:type="dxa"/>
            <w:vAlign w:val="center"/>
          </w:tcPr>
          <w:p w14:paraId="730890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协议决策</w:t>
            </w:r>
          </w:p>
        </w:tc>
      </w:tr>
      <w:tr w14:paraId="278C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E739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任一核心语义失败</w:t>
            </w:r>
          </w:p>
        </w:tc>
        <w:tc>
          <w:tcPr>
            <w:tcW w:w="6532" w:type="dxa"/>
            <w:vAlign w:val="center"/>
          </w:tcPr>
          <w:p w14:paraId="1F8126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停止 N1/G1–G7，修复 analyzer、oracle 或 registry 后新版本重采</w:t>
            </w:r>
          </w:p>
        </w:tc>
      </w:tr>
      <w:tr w14:paraId="3A7C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7D58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通过、N1 无非平凡差异</w:t>
            </w:r>
          </w:p>
        </w:tc>
        <w:tc>
          <w:tcPr>
            <w:tcW w:w="6532" w:type="dxa"/>
            <w:vAlign w:val="center"/>
          </w:tcPr>
          <w:p>
            <w:r>
              <w:rPr/>
              <w:t>N1 报告信息等价边界并降级为压力测试；不声称传统指标误判</w:t>
            </w:r>
          </w:p>
        </w:tc>
      </w:tr>
      <w:tr w14:paraId="2DFA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B55FB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G1 只有常识性趋势</w:t>
            </w:r>
          </w:p>
        </w:tc>
        <w:tc>
          <w:tcPr>
            <w:tcW w:w="6532" w:type="dxa"/>
            <w:vAlign w:val="center"/>
          </w:tcPr>
          <w:p>
            <w:r>
              <w:rPr/>
              <w:t>按冻结结果收缩 Information Gain；不得重新设计或挑选 Formal workload</w:t>
            </w:r>
          </w:p>
        </w:tc>
      </w:tr>
      <w:tr w14:paraId="75DE6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70EE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G2 不优于简单 baseline</w:t>
            </w:r>
          </w:p>
        </w:tc>
        <w:tc>
          <w:tcPr>
            <w:tcW w:w="6532" w:type="dxa"/>
            <w:vAlign w:val="center"/>
          </w:tcPr>
          <w:p w14:paraId="14520E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删除预测/指导 claim；保留 ΔA accounting 或零结果</w:t>
            </w:r>
          </w:p>
        </w:tc>
      </w:tr>
      <w:tr w14:paraId="1DC0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8B69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G3/G4 不复制但可解释</w:t>
            </w:r>
          </w:p>
        </w:tc>
        <w:tc>
          <w:tcPr>
            <w:tcW w:w="6532" w:type="dxa"/>
            <w:vAlign w:val="center"/>
          </w:tcPr>
          <w:p w14:paraId="2B6A9C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报告适用边界；不要求所有轴同方向</w:t>
            </w:r>
          </w:p>
        </w:tc>
      </w:tr>
      <w:tr w14:paraId="4645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F22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G3/G4 高度不规则且 coverage 低</w:t>
            </w:r>
          </w:p>
        </w:tc>
        <w:tc>
          <w:tcPr>
            <w:tcW w:w="6532" w:type="dxa"/>
            <w:vAlign w:val="center"/>
          </w:tcPr>
          <w:p w14:paraId="5C6084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限制单模型/平台 claim，不继续盲目扩展</w:t>
            </w:r>
          </w:p>
        </w:tc>
      </w:tr>
      <w:tr w14:paraId="351E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9" w:type="dxa"/>
            <w:vAlign w:val="center"/>
          </w:tcPr>
          <w:p w14:paraId="009DF4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核心证据成立</w:t>
            </w:r>
          </w:p>
        </w:tc>
        <w:tc>
          <w:tcPr>
            <w:tcW w:w="6532" w:type="dxa"/>
            <w:vAlign w:val="center"/>
          </w:tcPr>
          <w:p>
            <w:r>
              <w:rPr/>
              <w:t>按 Q0→N1/G1→G2 组织核心证据；仅在需要时增加 G3/G4 边界，G5–G7 延后</w:t>
            </w:r>
          </w:p>
        </w:tc>
      </w:tr>
    </w:tbl>
    <w:p w14:paraId="2C9AD9F5">
      <w:pPr>
        <w:rPr>
          <w:rFonts w:ascii="Times New Roman" w:hAnsi="Times New Roman" w:eastAsia="宋体"/>
          <w:highlight w:val="none"/>
        </w:rPr>
      </w:pPr>
    </w:p>
    <w:sectPr>
      <w:pgSz w:w="12240" w:h="15840"/>
      <w:pgMar w:top="1191" w:right="1219" w:bottom="1077" w:left="1332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E12E6">
    <w:pPr>
      <w:pStyle w:val="24"/>
      <w:jc w:val="center"/>
    </w:pPr>
    <w:r>
      <w:rPr>
        <w:rFonts w:ascii="Noto Sans CJK SC" w:hAnsi="Noto Sans CJK SC" w:eastAsia="Noto Sans CJK SC"/>
        <w:color w:val="696969"/>
        <w:sz w:val="18"/>
      </w:rPr>
      <w:fldChar w:fldCharType="begin"/>
    </w:r>
    <w:r>
      <w:rPr>
        <w:rFonts w:ascii="Noto Sans CJK SC" w:hAnsi="Noto Sans CJK SC" w:eastAsia="Noto Sans CJK SC"/>
        <w:color w:val="696969"/>
        <w:sz w:val="18"/>
      </w:rPr>
      <w:instrText xml:space="preserve"> PAGE </w:instrText>
    </w:r>
    <w:r>
      <w:rPr>
        <w:rFonts w:ascii="Noto Sans CJK SC" w:hAnsi="Noto Sans CJK SC" w:eastAsia="Noto Sans CJK SC"/>
        <w:color w:val="69696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E6932">
    <w:pPr>
      <w:pStyle w:val="25"/>
      <w:jc w:val="center"/>
      <w:rPr>
        <w:rFonts w:ascii="Times New Roman" w:hAnsi="Times New Roman" w:eastAsia="宋体"/>
        <w:highlight w:val="none"/>
      </w:rPr>
    </w:pPr>
    <w:r>
      <w:rPr>
        <w:rFonts w:ascii="Times New Roman" w:hAnsi="Times New Roman" w:eastAsia="宋体"/>
        <w:highlight w:val="none"/>
      </w:rPr>
      <w:t>ExposedPath · 实验与分析协议 v2.1 · Pre-Pilot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102"/>
    <w:rsid w:val="007B6480"/>
    <w:rsid w:val="00AA1D8D"/>
    <w:rsid w:val="00B47730"/>
    <w:rsid w:val="00CB0664"/>
    <w:rsid w:val="00FC693F"/>
    <w:rsid w:val="02685C0C"/>
    <w:rsid w:val="02CB7F49"/>
    <w:rsid w:val="03152F6F"/>
    <w:rsid w:val="03DD6186"/>
    <w:rsid w:val="04120294"/>
    <w:rsid w:val="08FB2C0B"/>
    <w:rsid w:val="090B4153"/>
    <w:rsid w:val="095C7B4D"/>
    <w:rsid w:val="0A867DD0"/>
    <w:rsid w:val="0B313A17"/>
    <w:rsid w:val="0B97321D"/>
    <w:rsid w:val="0D6B65B1"/>
    <w:rsid w:val="0D9C2C0E"/>
    <w:rsid w:val="0EDD528C"/>
    <w:rsid w:val="0F334EAC"/>
    <w:rsid w:val="107A6B0B"/>
    <w:rsid w:val="10A1053B"/>
    <w:rsid w:val="12ED7A68"/>
    <w:rsid w:val="14F30D60"/>
    <w:rsid w:val="15AA1C40"/>
    <w:rsid w:val="17233640"/>
    <w:rsid w:val="18DE1CFD"/>
    <w:rsid w:val="18E93EBE"/>
    <w:rsid w:val="1A0E6C42"/>
    <w:rsid w:val="1C3D380E"/>
    <w:rsid w:val="1C4701E9"/>
    <w:rsid w:val="1E7F63FD"/>
    <w:rsid w:val="1F9F20EA"/>
    <w:rsid w:val="20097C80"/>
    <w:rsid w:val="2351194D"/>
    <w:rsid w:val="2426052F"/>
    <w:rsid w:val="25DA20CE"/>
    <w:rsid w:val="26151358"/>
    <w:rsid w:val="27B75B1C"/>
    <w:rsid w:val="27D2012D"/>
    <w:rsid w:val="28B9421C"/>
    <w:rsid w:val="29EF76A4"/>
    <w:rsid w:val="2A775DC1"/>
    <w:rsid w:val="2A81520E"/>
    <w:rsid w:val="2AB651FD"/>
    <w:rsid w:val="2B163BA8"/>
    <w:rsid w:val="2BFD6B16"/>
    <w:rsid w:val="2C101CED"/>
    <w:rsid w:val="2C363DD6"/>
    <w:rsid w:val="2EF27CC1"/>
    <w:rsid w:val="2F452CAE"/>
    <w:rsid w:val="31302930"/>
    <w:rsid w:val="31CC4E5C"/>
    <w:rsid w:val="32715B68"/>
    <w:rsid w:val="3321133C"/>
    <w:rsid w:val="33EF15F3"/>
    <w:rsid w:val="34D67F04"/>
    <w:rsid w:val="34DD5913"/>
    <w:rsid w:val="34E95E89"/>
    <w:rsid w:val="38591578"/>
    <w:rsid w:val="39D569DC"/>
    <w:rsid w:val="3BF3486D"/>
    <w:rsid w:val="3CCE67A9"/>
    <w:rsid w:val="3F3E5024"/>
    <w:rsid w:val="453F38A4"/>
    <w:rsid w:val="4CCF550D"/>
    <w:rsid w:val="4F0973FC"/>
    <w:rsid w:val="4F561F16"/>
    <w:rsid w:val="4FE07EF4"/>
    <w:rsid w:val="5023004A"/>
    <w:rsid w:val="53FA426C"/>
    <w:rsid w:val="55E4027B"/>
    <w:rsid w:val="56BF4844"/>
    <w:rsid w:val="5798756F"/>
    <w:rsid w:val="589A7317"/>
    <w:rsid w:val="59441031"/>
    <w:rsid w:val="5B6B0AF7"/>
    <w:rsid w:val="5BDF731D"/>
    <w:rsid w:val="5BEA5EBF"/>
    <w:rsid w:val="5C335AB8"/>
    <w:rsid w:val="5C9D2F32"/>
    <w:rsid w:val="5CF8285E"/>
    <w:rsid w:val="5CFE264B"/>
    <w:rsid w:val="5E190CDE"/>
    <w:rsid w:val="60397415"/>
    <w:rsid w:val="62A65D9D"/>
    <w:rsid w:val="631F2A00"/>
    <w:rsid w:val="6421269A"/>
    <w:rsid w:val="65931376"/>
    <w:rsid w:val="6737777F"/>
    <w:rsid w:val="67A768ED"/>
    <w:rsid w:val="683E7CBF"/>
    <w:rsid w:val="68DB1FE4"/>
    <w:rsid w:val="6A49294B"/>
    <w:rsid w:val="6BE40B7D"/>
    <w:rsid w:val="6EDA0016"/>
    <w:rsid w:val="6FDE5644"/>
    <w:rsid w:val="75023E22"/>
    <w:rsid w:val="753A7A60"/>
    <w:rsid w:val="7625426C"/>
    <w:rsid w:val="76BF021D"/>
    <w:rsid w:val="76EB7264"/>
    <w:rsid w:val="791B013F"/>
    <w:rsid w:val="7A1A39BC"/>
    <w:rsid w:val="7A8F6158"/>
    <w:rsid w:val="7B9F23CB"/>
    <w:rsid w:val="7C39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8" w:lineRule="auto"/>
      <w:ind w:firstLine="0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jc w:val="center"/>
    </w:pPr>
    <w:rPr>
      <w:rFonts w:ascii="Noto Sans CJK SC" w:hAnsi="Noto Sans CJK SC" w:eastAsia="Noto Sans CJK SC"/>
      <w:b/>
      <w:bCs/>
      <w:i/>
      <w:color w:val="555555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b/>
      <w:i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allout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19375A"/>
      <w:sz w:val="20"/>
      <w:szCs w:val="22"/>
      <w:lang w:val="en-US" w:eastAsia="en-US" w:bidi="ar-SA"/>
    </w:rPr>
  </w:style>
  <w:style w:type="paragraph" w:customStyle="1" w:styleId="167">
    <w:name w:val="Decision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1C5C3E"/>
      <w:sz w:val="20"/>
      <w:szCs w:val="22"/>
      <w:lang w:val="en-US" w:eastAsia="en-US" w:bidi="ar-SA"/>
    </w:rPr>
  </w:style>
  <w:style w:type="paragraph" w:customStyle="1" w:styleId="168">
    <w:name w:val="Warning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784B0A"/>
      <w:sz w:val="20"/>
      <w:szCs w:val="22"/>
      <w:lang w:val="en-US" w:eastAsia="en-US" w:bidi="ar-SA"/>
    </w:rPr>
  </w:style>
  <w:style w:type="paragraph" w:customStyle="1" w:styleId="169">
    <w:name w:val="Formula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232323"/>
      <w:sz w:val="20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1485</Words>
  <Characters>3169</Characters>
  <Lines>0</Lines>
  <Paragraphs>0</Paragraphs>
  <TotalTime>567</TotalTime>
  <ScaleCrop>false</ScaleCrop>
  <LinksUpToDate>false</LinksUpToDate>
  <CharactersWithSpaces>3398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尚未 Protocol Freeze；候选 WMPC、平台、阈值与统计规则须经 Pilot。</dc:description>
  <cp:keywords>ExposedPath, LLM inference, CUDA synchronization, latency accounting, measurement, characterization</cp:keywords>
  <cp:lastModifiedBy>叶刘强</cp:lastModifiedBy>
  <dcterms:modified xsi:type="dcterms:W3CDTF">2026-08-04T11:45:27Z</dcterms:modified>
  <dc:subject>依据 v1.4.1 完整整合修订的 Pre-Pilot 执行协议</dc:subject>
  <dc:title>ExposedPath 实验与分析协议 v2.1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eyJoZGlkIjoiMDY5NmFjMmM4ZTljMGJiZDAxN2JmYTc0NGI0NmFiNDgiLCJ1c2VySWQiOiIxNzY3MDY1NTEwIn0=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A6CD017F8B144B469D642406648DE124_12</vt:lpwstr>
  </property>
</Properties>
</file>