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95EC1">
      <w:pPr>
        <w:pStyle w:val="32"/>
        <w:spacing w:before="1500"/>
        <w:jc w:val="center"/>
        <w:rPr>
          <w:rFonts w:ascii="Times New Roman" w:hAnsi="Times New Roman" w:eastAsia="宋体"/>
        </w:rPr>
      </w:pPr>
      <w:r>
        <w:rPr>
          <w:rFonts w:ascii="Times New Roman" w:hAnsi="Times New Roman" w:eastAsia="宋体"/>
          <w:b/>
          <w:color w:val="000000"/>
          <w:sz w:val="60"/>
        </w:rPr>
        <w:t>ExposedPath</w:t>
      </w:r>
    </w:p>
    <w:p w14:paraId="7B1B814C">
      <w:pPr>
        <w:pStyle w:val="26"/>
        <w:jc w:val="center"/>
        <w:rPr>
          <w:rFonts w:ascii="Times New Roman" w:hAnsi="Times New Roman" w:eastAsia="宋体"/>
          <w:highlight w:val="none"/>
        </w:rPr>
      </w:pPr>
      <w:r>
        <w:rPr>
          <w:rFonts w:ascii="Times New Roman" w:hAnsi="Times New Roman" w:eastAsia="宋体"/>
          <w:color w:val="000000"/>
        </w:rPr>
        <w:t>同步语义感知的 LLM 推理请求可见暴露时延研究设计与论文证据框架</w:t>
      </w:r>
    </w:p>
    <w:p w14:paraId="25F28761">
      <w:pPr>
        <w:ind w:firstLine="0"/>
        <w:jc w:val="center"/>
        <w:rPr>
          <w:rFonts w:ascii="Times New Roman" w:hAnsi="Times New Roman" w:eastAsia="宋体"/>
          <w:highlight w:val="none"/>
        </w:rPr>
      </w:pPr>
      <w:r>
        <w:rPr>
          <w:rFonts w:ascii="Times New Roman" w:hAnsi="Times New Roman" w:eastAsia="宋体"/>
          <w:color w:val="000000"/>
        </w:rPr>
        <w:t>依据 v1.4.1 完整整合修订版</w:t>
      </w:r>
    </w:p>
    <w:p w14:paraId="7352626F">
      <w:pPr>
        <w:ind w:firstLine="0"/>
        <w:jc w:val="center"/>
        <w:rPr>
          <w:rFonts w:ascii="Times New Roman" w:hAnsi="Times New Roman" w:eastAsia="宋体"/>
        </w:rPr>
      </w:pPr>
      <w:r>
        <w:rPr>
          <w:rFonts w:ascii="Times New Roman" w:hAnsi="Times New Roman" w:eastAsia="宋体"/>
          <w:color w:val="000000"/>
        </w:rPr>
        <w:t>研究对象：单 GPU、请求内部、纯模型推理的 Host–accelerator request-visible exposure</w:t>
      </w:r>
    </w:p>
    <w:p w14:paraId="17E132A6">
      <w:pPr>
        <w:rPr>
          <w:rFonts w:ascii="Times New Roman" w:hAnsi="Times New Roman" w:eastAsia="宋体"/>
        </w:rPr>
      </w:pPr>
    </w:p>
    <w:p w14:paraId="5D3BE2D1">
      <w:pPr>
        <w:pStyle w:val="167"/>
        <w:shd w:val="clear" w:fill="E6F3EB"/>
        <w:rPr>
          <w:rFonts w:ascii="Times New Roman" w:hAnsi="Times New Roman" w:eastAsia="宋体"/>
          <w:highlight w:val="none"/>
        </w:rPr>
      </w:pPr>
      <w:r>
        <w:rPr>
          <w:rFonts w:ascii="Times New Roman" w:hAnsi="Times New Roman" w:eastAsia="宋体"/>
          <w:color w:val="000000"/>
        </w:rPr>
        <w:t>版本定位：本文件已经吸收《ExposedPath CCF-A 顶刊研究定位与机制归因补充说明 v1.4.1》的研究定位、信息增量、决策增量与执行路线修正，作为当前研究设计主体。方法链固定为 Raw→S→{A,B}→D/Exposure Signature。实验执行、候选 WMPC、Q0、N1、G1/G2、Pilot 与冻结规则由《ExposedPath 实验与分析协议 v2.1（Pre-Pilot 整合修订版）》承接；当前代码和历史 trace 只表示 Prototype/Engineering 事实。</w:t>
      </w:r>
    </w:p>
    <w:p w14:paraId="2B4C01F8">
      <w:pPr>
        <w:ind w:firstLine="0"/>
        <w:jc w:val="center"/>
        <w:rPr>
          <w:rFonts w:ascii="Times New Roman" w:hAnsi="Times New Roman" w:eastAsia="宋体"/>
          <w:highlight w:val="none"/>
        </w:rPr>
      </w:pPr>
      <w:r>
        <w:rPr>
          <w:rFonts w:ascii="Times New Roman" w:hAnsi="Times New Roman" w:eastAsia="宋体"/>
          <w:color w:val="000000"/>
        </w:rPr>
        <w:t>版本：v7.0　日期：2026 年 9 月 10 日　状态：当前研究设计整合修订版</w:t>
      </w:r>
    </w:p>
    <w:p w14:paraId="5D43AD90">
      <w:pPr>
        <w:pStyle w:val="167"/>
        <w:rPr>
          <w:rFonts w:ascii="Times New Roman" w:hAnsi="Times New Roman" w:eastAsia="宋体"/>
        </w:rPr>
      </w:pPr>
      <w:r>
        <w:rPr>
          <w:rFonts w:ascii="Times New Roman" w:hAnsi="Times New Roman" w:eastAsia="宋体"/>
          <w:b w:val="0"/>
          <w:i w:val="0"/>
          <w:color w:val="000000"/>
        </w:rPr>
        <w:t>v1.4.1 整合结论：Activity Cost 不等于 Request-Visible Exposure；S 层必须依据 synchronization/completion semantics 恢复完整语义前驱集合 W(s)、terminal 证据与 validity，时间重叠本身不能证明 dependency；研究证据按 Correctness→Information Gain→Decision Gain 逐级建立。</w:t>
      </w:r>
    </w:p>
    <w:p w14:paraId="453964F6">
      <w:pPr>
        <w:ind w:firstLine="0"/>
        <w:jc w:val="center"/>
        <w:rPr>
          <w:rFonts w:ascii="Times New Roman" w:hAnsi="Times New Roman" w:eastAsia="宋体"/>
          <w:highlight w:val="none"/>
        </w:rPr>
      </w:pPr>
      <w:r>
        <w:rPr>
          <w:rFonts w:ascii="Times New Roman" w:hAnsi="Times New Roman" w:eastAsia="宋体"/>
          <w:color w:val="000000"/>
        </w:rPr>
        <w:t>平台边界：当前方法以单 GPU、请求内部 Host–device execution domain 为核心；RTX 4090、RTX 6000 Ada 及其他 GPU 均须先通过正式平台资格检查，不能在 Pre-Pilot 阶段写成已冻结主平台。</w:t>
      </w:r>
    </w:p>
    <w:p w14:paraId="6A3E77D6">
      <w:pPr>
        <w:rPr>
          <w:rFonts w:ascii="Times New Roman" w:hAnsi="Times New Roman" w:eastAsia="宋体"/>
        </w:rPr>
      </w:pPr>
      <w:r>
        <w:rPr>
          <w:rFonts w:ascii="Times New Roman" w:hAnsi="Times New Roman" w:eastAsia="宋体"/>
          <w:color w:val="000000"/>
        </w:rPr>
        <w:br w:type="page"/>
      </w:r>
    </w:p>
    <w:p w14:paraId="1E2B839D">
      <w:pPr>
        <w:bidi w:val="0"/>
        <w:rPr>
          <w:rFonts w:ascii="Times New Roman" w:hAnsi="Times New Roman" w:eastAsia="宋体"/>
        </w:rPr>
      </w:pPr>
      <w:r>
        <w:rPr>
          <w:rFonts w:ascii="Times New Roman" w:hAnsi="Times New Roman" w:eastAsia="宋体"/>
          <w:color w:val="000000"/>
        </w:rPr>
        <w:t>贡献一：方法候选。提出 ExposedPath，通过同步完成语义把 Raw trace 转换为可审计的 W(s)、terminal 与 validity，并在此基础上形成 request/phase 互斥墙钟 accounting 和 per-sync provenance；该贡献只有在 Q0 通过后才能表述为已验证方法。</w:t>
      </w:r>
    </w:p>
    <w:p w14:paraId="6C706DCE">
      <w:pPr>
        <w:bidi w:val="0"/>
        <w:rPr>
          <w:rFonts w:ascii="Times New Roman" w:hAnsi="Times New Roman" w:eastAsia="宋体"/>
        </w:rPr>
      </w:pPr>
      <w:r>
        <w:rPr>
          <w:rFonts w:ascii="Times New Roman" w:hAnsi="Times New Roman" w:eastAsia="宋体"/>
          <w:color w:val="000000"/>
        </w:rPr>
        <w:t>贡献二：信息增量候选。通过 N1 与 G1 检验传统 activity 指标与 request-visible exposure 在哪些条件下近似等价、稳定非等价或依赖执行区间变化；结果可以是比例、非比例、条件性或 null，主张随证据收缩。</w:t>
      </w:r>
    </w:p>
    <w:p w14:paraId="229AD712">
      <w:pPr>
        <w:bidi w:val="0"/>
        <w:rPr>
          <w:rFonts w:ascii="Times New Roman" w:hAnsi="Times New Roman" w:eastAsia="宋体"/>
        </w:rPr>
      </w:pPr>
      <w:r>
        <w:rPr>
          <w:rFonts w:ascii="Times New Roman" w:hAnsi="Times New Roman" w:eastAsia="宋体"/>
          <w:color w:val="000000"/>
        </w:rPr>
        <w:t>贡献三：决策增量候选。通过 G2 的预注册真实优化与 held-out 比较，检验 Exposure Signature 是否相对传统指标增加优化解释或优先级信息；若无增量，只保留正确性与信息边界，不声称优化预测或决策优势。</w:t>
      </w:r>
    </w:p>
    <w:p w14:paraId="551EA018">
      <w:pPr>
        <w:bidi w:val="0"/>
        <w:rPr>
          <w:rFonts w:ascii="Times New Roman" w:hAnsi="Times New Roman" w:eastAsia="宋体"/>
        </w:rPr>
      </w:pPr>
    </w:p>
    <w:p w14:paraId="44F0E199">
      <w:pPr>
        <w:pStyle w:val="3"/>
        <w:rPr>
          <w:rFonts w:ascii="Times New Roman" w:hAnsi="Times New Roman" w:eastAsia="宋体"/>
        </w:rPr>
      </w:pPr>
      <w:r>
        <w:rPr>
          <w:rFonts w:ascii="Times New Roman" w:hAnsi="Times New Roman" w:eastAsia="宋体"/>
          <w:color w:val="000000"/>
        </w:rPr>
        <w:t>目录</w:t>
      </w:r>
    </w:p>
    <w:p w14:paraId="191A5F26">
      <w:pPr>
        <w:ind w:left="283" w:firstLine="0"/>
        <w:rPr>
          <w:rFonts w:ascii="Times New Roman" w:hAnsi="Times New Roman" w:eastAsia="宋体"/>
          <w:highlight w:val="none"/>
        </w:rPr>
      </w:pPr>
      <w:r>
        <w:rPr>
          <w:rFonts w:ascii="Times New Roman" w:hAnsi="Times New Roman" w:eastAsia="宋体"/>
          <w:color w:val="000000"/>
        </w:rPr>
        <w:t>第一章　学术背景、核心问题、研究缺口与实验框架</w:t>
      </w:r>
    </w:p>
    <w:p w14:paraId="248E7253">
      <w:pPr>
        <w:ind w:left="283" w:firstLine="0"/>
        <w:rPr>
          <w:rFonts w:ascii="Times New Roman" w:hAnsi="Times New Roman" w:eastAsia="宋体"/>
          <w:highlight w:val="none"/>
        </w:rPr>
      </w:pPr>
      <w:r>
        <w:rPr>
          <w:rFonts w:ascii="Times New Roman" w:hAnsi="Times New Roman" w:eastAsia="宋体"/>
          <w:color w:val="000000"/>
        </w:rPr>
        <w:t>第二章　测量边界、Raw/S/A/B 建模与指标体系</w:t>
      </w:r>
    </w:p>
    <w:p w14:paraId="75D3D9F1">
      <w:pPr>
        <w:ind w:left="283" w:firstLine="0"/>
        <w:rPr>
          <w:rFonts w:ascii="Times New Roman" w:hAnsi="Times New Roman" w:eastAsia="宋体"/>
          <w:highlight w:val="none"/>
        </w:rPr>
      </w:pPr>
      <w:r>
        <w:rPr>
          <w:rFonts w:ascii="Times New Roman" w:hAnsi="Times New Roman" w:eastAsia="宋体"/>
          <w:color w:val="000000"/>
        </w:rPr>
        <w:t>第三章　研究路线、论文证据链与 Artifact</w:t>
      </w:r>
    </w:p>
    <w:p w14:paraId="0F0AA168">
      <w:pPr>
        <w:ind w:left="283" w:firstLine="0"/>
        <w:rPr>
          <w:rFonts w:ascii="Times New Roman" w:hAnsi="Times New Roman" w:eastAsia="宋体"/>
          <w:highlight w:val="none"/>
        </w:rPr>
      </w:pPr>
      <w:r>
        <w:rPr>
          <w:rFonts w:ascii="Times New Roman" w:hAnsi="Times New Roman" w:eastAsia="宋体"/>
          <w:color w:val="000000"/>
        </w:rPr>
        <w:t>第四章　最终贡献、CCF-A 证据要求、风险与扩展</w:t>
      </w:r>
    </w:p>
    <w:p w14:paraId="2CC38CF9">
      <w:pPr>
        <w:ind w:left="283" w:firstLine="0"/>
        <w:rPr>
          <w:rFonts w:ascii="Times New Roman" w:hAnsi="Times New Roman" w:eastAsia="宋体"/>
          <w:highlight w:val="none"/>
        </w:rPr>
      </w:pPr>
      <w:r>
        <w:rPr>
          <w:rFonts w:ascii="Times New Roman" w:hAnsi="Times New Roman" w:eastAsia="宋体"/>
          <w:color w:val="000000"/>
        </w:rPr>
        <w:t>附录 A　核心指标字典</w:t>
      </w:r>
    </w:p>
    <w:p w14:paraId="68092EB5">
      <w:pPr>
        <w:ind w:left="283" w:firstLine="0"/>
        <w:rPr>
          <w:rFonts w:ascii="Times New Roman" w:hAnsi="Times New Roman" w:eastAsia="宋体"/>
          <w:highlight w:val="none"/>
        </w:rPr>
      </w:pPr>
      <w:r>
        <w:rPr>
          <w:rFonts w:ascii="Times New Roman" w:hAnsi="Times New Roman" w:eastAsia="宋体"/>
          <w:color w:val="000000"/>
        </w:rPr>
        <w:t>附录 B　正确性合同与 Claim—实验映射</w:t>
      </w:r>
    </w:p>
    <w:p w14:paraId="56750B46">
      <w:pPr>
        <w:ind w:left="283" w:firstLine="0"/>
        <w:rPr>
          <w:rFonts w:ascii="Times New Roman" w:hAnsi="Times New Roman" w:eastAsia="宋体"/>
          <w:highlight w:val="none"/>
        </w:rPr>
      </w:pPr>
      <w:r>
        <w:rPr>
          <w:rFonts w:ascii="Times New Roman" w:hAnsi="Times New Roman" w:eastAsia="宋体"/>
          <w:color w:val="000000"/>
        </w:rPr>
        <w:t>附录 C　参考工作与技术依据</w:t>
      </w:r>
    </w:p>
    <w:p w14:paraId="6B04A599">
      <w:pPr>
        <w:ind w:left="283" w:firstLine="0"/>
        <w:rPr>
          <w:rFonts w:ascii="Times New Roman" w:hAnsi="Times New Roman" w:eastAsia="宋体"/>
          <w:highlight w:val="none"/>
        </w:rPr>
      </w:pPr>
      <w:r>
        <w:rPr>
          <w:rFonts w:ascii="Times New Roman" w:hAnsi="Times New Roman" w:eastAsia="宋体"/>
          <w:color w:val="000000"/>
        </w:rPr>
        <w:t>附录 D　先导结果与方向性证据（不得进入正式统计）</w:t>
      </w:r>
    </w:p>
    <w:p w14:paraId="2022167E">
      <w:pPr>
        <w:rPr>
          <w:rFonts w:ascii="Times New Roman" w:hAnsi="Times New Roman" w:eastAsia="宋体"/>
        </w:rPr>
      </w:pPr>
      <w:r>
        <w:rPr>
          <w:rFonts w:ascii="Times New Roman" w:hAnsi="Times New Roman" w:eastAsia="宋体"/>
          <w:color w:val="000000"/>
        </w:rPr>
        <w:br w:type="page"/>
      </w:r>
    </w:p>
    <w:p w14:paraId="5260B7B4">
      <w:pPr>
        <w:pStyle w:val="3"/>
        <w:rPr>
          <w:rFonts w:ascii="Times New Roman" w:hAnsi="Times New Roman" w:eastAsia="宋体"/>
        </w:rPr>
      </w:pPr>
      <w:r>
        <w:rPr>
          <w:rFonts w:ascii="Times New Roman" w:hAnsi="Times New Roman" w:eastAsia="宋体"/>
          <w:color w:val="000000"/>
        </w:rPr>
        <w:t>第一章　学术背景、核心问题、研究缺口与实验框架</w:t>
      </w:r>
    </w:p>
    <w:p w14:paraId="74995C26">
      <w:pPr>
        <w:pStyle w:val="4"/>
        <w:rPr>
          <w:rFonts w:ascii="Times New Roman" w:hAnsi="Times New Roman" w:eastAsia="宋体"/>
        </w:rPr>
      </w:pPr>
      <w:r>
        <w:rPr>
          <w:rFonts w:ascii="Times New Roman" w:hAnsi="Times New Roman" w:eastAsia="宋体"/>
          <w:color w:val="000000"/>
        </w:rPr>
        <w:t>1.1 研究背景：LLM 推理优化已经进入跨栈阶段</w:t>
      </w:r>
    </w:p>
    <w:p w14:paraId="43F52F01">
      <w:pPr>
        <w:rPr>
          <w:rFonts w:hint="eastAsia" w:ascii="Times New Roman" w:hAnsi="Times New Roman" w:eastAsia="宋体"/>
          <w:lang w:eastAsia="zh-CN"/>
        </w:rPr>
      </w:pPr>
      <w:r>
        <w:rPr>
          <w:rFonts w:ascii="Times New Roman" w:hAnsi="Times New Roman" w:eastAsia="宋体"/>
          <w:color w:val="000000"/>
        </w:rPr>
        <w:t>现有大语言模型推理研究主要围绕 GPU 算子与 kernel 优化、并行执行、显存管理、KV Cache、量化以及批处理调度展开，对于 Prefill 和 Decode 的性能分析也通常以 GPU 计算强度、显存带宽、kernel 时间和设备利用率为主要依据。近年来，SKIP/TKLQT、TaxBreak、XSP 和 lm-Meter 等工作开始关注 CPU–GPU 耦合、Host 编排以及跨栈和阶段级时延，证明 CPU 的框架控制、CUDA 调用和 kernel 提交可能在小 batch、低并发和逐 token Decode 条件下成为重要瓶颈。然而，这些工作分别聚焦于 CPU/GPU boundedness、Host 开销来源、跨栈层次化统计或阶段与 kernel 时延，尚未从 Host 可见的完整请求时间线出发，对 CPU/Host 活动、CUDA API、异步 GPU 执行和同步等待如何共同组成一次推理的真实墙钟时延进行统一解释。</w:t>
      </w:r>
    </w:p>
    <w:p w14:paraId="632600FF">
      <w:pPr>
        <w:rPr>
          <w:rFonts w:ascii="Times New Roman" w:hAnsi="Times New Roman" w:eastAsia="宋体"/>
        </w:rPr>
      </w:pPr>
      <w:r>
        <w:rPr>
          <w:rFonts w:ascii="Times New Roman" w:hAnsi="Times New Roman" w:eastAsia="宋体"/>
          <w:color w:val="000000"/>
        </w:rPr>
        <w:t>然而，现有工作仍没有完整解决如何按照真实 CUDA 同步语义，对一个 invocation 的墙钟时间进行互斥、守恒且可审计的归因。Nsight Systems 和 CUPTI 能够记录 CUDA API、kernel、memory operation、stream 与 synchronization activity，但这些 Host API、异步 GPU 执行和同步区间之间可能相互重叠，直接求和会产生重复记账。与此同时，CUDA 的异步执行模型决定了 stream、device/context 与 event synchronization 具有不同等待范围，因此一次同步究竟暴露了多少设备执行，必须依据 stream、context、event 和提交状态恢复实际 wait set</w:t>
      </w:r>
      <w:r>
        <w:rPr>
          <w:rFonts w:hint="eastAsia" w:ascii="Times New Roman" w:hAnsi="Times New Roman" w:eastAsia="宋体"/>
          <w:color w:val="000000"/>
          <w:lang w:eastAsia="zh-CN"/>
        </w:rPr>
        <w:t>（是某个同步 s 所等待的 GPU activity 集合，不是 sync API 的集合。）</w:t>
      </w:r>
      <w:r>
        <w:rPr>
          <w:rFonts w:ascii="Times New Roman" w:hAnsi="Times New Roman" w:eastAsia="宋体"/>
          <w:color w:val="000000"/>
        </w:rPr>
        <w:t>，而不能仅利用聚合 queue time 或 API residual 推测。ExposedPath 将原始 trace 按 Raw→S→{A,B} 处理：A 对 Host、CUDA API、设备等待和同步残余进行互斥墙钟记账；temporal overlap 只描述 Host owner 区间与任意 GPU activity 的同时发生；B 则区分 sync 前隐藏执行、sync 内暴露执行和返回尾部，并仅在 terminal 于关联 launch API 返回后启动时补充 post-API predecessor 与 uncovered gap。该方法关注的是“各类活动如何占有 invocation 墙钟，以及哪些 wait-set 设备执行真正暴露在同步等待中”，而不是把时间重叠直接解释为依赖或可消除时延。</w:t>
      </w:r>
    </w:p>
    <w:p w14:paraId="0A02B4BE">
      <w:pPr>
        <w:pStyle w:val="5"/>
        <w:rPr>
          <w:rFonts w:ascii="Times New Roman" w:hAnsi="Times New Roman" w:eastAsia="宋体"/>
          <w:highlight w:val="none"/>
        </w:rPr>
      </w:pPr>
      <w:r>
        <w:rPr>
          <w:rFonts w:ascii="Times New Roman" w:hAnsi="Times New Roman" w:eastAsia="宋体"/>
          <w:color w:val="000000"/>
        </w:rPr>
        <w:t>1.1.1 从硬件执行到请求墙钟的四层问题框架</w:t>
      </w:r>
    </w:p>
    <w:p w14:paraId="5164D3EA">
      <w:pPr>
        <w:rPr>
          <w:rFonts w:ascii="Times New Roman" w:hAnsi="Times New Roman" w:eastAsia="宋体"/>
          <w:highlight w:val="none"/>
        </w:rPr>
      </w:pPr>
      <w:r>
        <w:rPr>
          <w:rFonts w:ascii="Times New Roman" w:hAnsi="Times New Roman" w:eastAsia="宋体"/>
          <w:color w:val="000000"/>
        </w:rPr>
        <w:t>新增文献表明，LLM 推理性能研究可以区分为四个相互关联但不可互相替代的层次。该分层用于明确 ExposedPath 的研究对象，避免把 GPU 内部瓶颈、CPU–GPU 提交状态与用户请求墙钟混为同一问题。</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4"/>
        <w:gridCol w:w="2390"/>
        <w:gridCol w:w="2488"/>
        <w:gridCol w:w="2450"/>
      </w:tblGrid>
      <w:tr w14:paraId="31FA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DBF0AE7">
            <w:pPr>
              <w:snapToGrid w:val="0"/>
              <w:spacing w:after="0"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sz w:val="17"/>
              </w:rPr>
              <w:t>研究层次</w:t>
            </w:r>
          </w:p>
        </w:tc>
        <w:tc>
          <w:tcPr>
            <w:tcW w:w="2390" w:type="dxa"/>
            <w:vAlign w:val="center"/>
          </w:tcPr>
          <w:p w14:paraId="2BFF43C6">
            <w:pPr>
              <w:snapToGrid w:val="0"/>
              <w:spacing w:after="0"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sz w:val="17"/>
              </w:rPr>
              <w:t>代表性文献/方向</w:t>
            </w:r>
          </w:p>
        </w:tc>
        <w:tc>
          <w:tcPr>
            <w:tcW w:w="0" w:type="auto"/>
            <w:vAlign w:val="center"/>
          </w:tcPr>
          <w:p w14:paraId="65C4FBD6">
            <w:pPr>
              <w:snapToGrid w:val="0"/>
              <w:spacing w:after="0"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sz w:val="17"/>
              </w:rPr>
              <w:t>主要回答的问题</w:t>
            </w:r>
          </w:p>
        </w:tc>
        <w:tc>
          <w:tcPr>
            <w:tcW w:w="2450" w:type="dxa"/>
            <w:vAlign w:val="center"/>
          </w:tcPr>
          <w:p w14:paraId="4A20933B">
            <w:pPr>
              <w:snapToGrid w:val="0"/>
              <w:spacing w:after="0"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sz w:val="17"/>
              </w:rPr>
              <w:t>与ExposedPath的关系</w:t>
            </w:r>
          </w:p>
        </w:tc>
      </w:tr>
      <w:tr w14:paraId="78AE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0824FCC">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GPU 执行与硬件建模层</w:t>
            </w:r>
          </w:p>
        </w:tc>
        <w:tc>
          <w:tcPr>
            <w:tcW w:w="2390" w:type="dxa"/>
            <w:vAlign w:val="center"/>
          </w:tcPr>
          <w:p w14:paraId="629C822D">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LLMCompass、AMALI、系统化 GPU characterization、Mind the Memory Gap</w:t>
            </w:r>
          </w:p>
        </w:tc>
        <w:tc>
          <w:tcPr>
            <w:tcW w:w="0" w:type="auto"/>
            <w:vAlign w:val="center"/>
          </w:tcPr>
          <w:p w14:paraId="3AAFFD1C">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kernel/算子为什么耗时，受计算、显存带宽、stall 或 kernel 结构中的哪些因素限制</w:t>
            </w:r>
          </w:p>
        </w:tc>
        <w:tc>
          <w:tcPr>
            <w:tcW w:w="2450" w:type="dxa"/>
            <w:vAlign w:val="center"/>
          </w:tcPr>
          <w:p w14:paraId="11C79C75">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解释设备工作本身为什么慢；不能直接判断这些执行有多少暴露到 request/phase 墙钟</w:t>
            </w:r>
          </w:p>
        </w:tc>
      </w:tr>
      <w:tr w14:paraId="01612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2282F37">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CPU–GPU 提交与队列层</w:t>
            </w:r>
          </w:p>
        </w:tc>
        <w:tc>
          <w:tcPr>
            <w:tcW w:w="2390" w:type="dxa"/>
            <w:vAlign w:val="center"/>
          </w:tcPr>
          <w:p w14:paraId="658AD911">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SKIP/TKLQT、TaxBreak</w:t>
            </w:r>
          </w:p>
        </w:tc>
        <w:tc>
          <w:tcPr>
            <w:tcW w:w="0" w:type="auto"/>
            <w:vAlign w:val="center"/>
          </w:tcPr>
          <w:p w14:paraId="0A2FD18E">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Host 编排、launch、queue 与 CPU/GPU-bound 转换如何形成</w:t>
            </w:r>
          </w:p>
        </w:tc>
        <w:tc>
          <w:tcPr>
            <w:tcW w:w="2450" w:type="dxa"/>
            <w:vAlign w:val="center"/>
          </w:tcPr>
          <w:p w14:paraId="32DEF90A">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提供重要近邻指标；但聚合 launch/queue 或 Host residual 不等于同步语义下的 wait set 与互斥墙钟</w:t>
            </w:r>
          </w:p>
        </w:tc>
      </w:tr>
      <w:tr w14:paraId="1D56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F00"/>
            <w:vAlign w:val="center"/>
          </w:tcPr>
          <w:p w14:paraId="7717EED8">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请求墙钟暴露层</w:t>
            </w:r>
          </w:p>
        </w:tc>
        <w:tc>
          <w:tcPr>
            <w:tcW w:w="2390" w:type="dxa"/>
            <w:shd w:val="clear" w:color="auto" w:fill="FFFF00"/>
            <w:vAlign w:val="center"/>
          </w:tcPr>
          <w:p w14:paraId="036A1D95">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ExposedPath</w:t>
            </w:r>
          </w:p>
        </w:tc>
        <w:tc>
          <w:tcPr>
            <w:tcW w:w="0" w:type="auto"/>
            <w:shd w:val="clear" w:color="auto" w:fill="FFFF00"/>
            <w:vAlign w:val="center"/>
          </w:tcPr>
          <w:p w14:paraId="4F05C421">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Host、CUDA API、被等待的 GPU activity 与同步残余如何互斥、守恒地组成一次 request/phase 墙钟</w:t>
            </w:r>
          </w:p>
        </w:tc>
        <w:tc>
          <w:tcPr>
            <w:tcW w:w="2450" w:type="dxa"/>
            <w:shd w:val="clear" w:color="auto" w:fill="FFFF00"/>
            <w:vAlign w:val="center"/>
          </w:tcPr>
          <w:p w14:paraId="20398272">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本文的核心研究层次</w:t>
            </w:r>
          </w:p>
        </w:tc>
      </w:tr>
      <w:tr w14:paraId="1998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4" w:type="dxa"/>
            <w:vAlign w:val="center"/>
          </w:tcPr>
          <w:p w14:paraId="7C6E9960">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优化系统层</w:t>
            </w:r>
          </w:p>
        </w:tc>
        <w:tc>
          <w:tcPr>
            <w:tcW w:w="2390" w:type="dxa"/>
            <w:vAlign w:val="center"/>
          </w:tcPr>
          <w:p w14:paraId="16123E29">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POD-Attention、APEX、CPU–GPU workload distribution、SPIN 等</w:t>
            </w:r>
          </w:p>
        </w:tc>
        <w:tc>
          <w:tcPr>
            <w:tcW w:w="2488" w:type="dxa"/>
            <w:vAlign w:val="center"/>
          </w:tcPr>
          <w:p w14:paraId="42C73204">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如何通过 overlap、offloading、执行栈或 speculative decoding 改变性能</w:t>
            </w:r>
          </w:p>
        </w:tc>
        <w:tc>
          <w:tcPr>
            <w:tcW w:w="2450" w:type="dxa"/>
            <w:vAlign w:val="center"/>
          </w:tcPr>
          <w:p w14:paraId="055EBA28">
            <w:pPr>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用于说明 G2 的机制空间与应用价值；不要求在当前主矩阵中逐项复现</w:t>
            </w:r>
          </w:p>
        </w:tc>
      </w:tr>
    </w:tbl>
    <w:p w14:paraId="375388F1">
      <w:pPr>
        <w:pStyle w:val="4"/>
        <w:rPr>
          <w:rFonts w:ascii="Times New Roman" w:hAnsi="Times New Roman" w:eastAsia="宋体"/>
        </w:rPr>
      </w:pPr>
      <w:r>
        <w:rPr>
          <w:rFonts w:ascii="Times New Roman" w:hAnsi="Times New Roman" w:eastAsia="宋体"/>
          <w:color w:val="000000"/>
        </w:rPr>
        <w:t>1.2 现有研究脉络与 ExposedPath 的位置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793"/>
        <w:gridCol w:w="2500"/>
        <w:gridCol w:w="2472"/>
      </w:tblGrid>
      <w:tr w14:paraId="29D2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CE6F1"/>
            <w:tcMar>
              <w:top w:w="70" w:type="dxa"/>
              <w:left w:w="80" w:type="dxa"/>
              <w:bottom w:w="70" w:type="dxa"/>
              <w:right w:w="80" w:type="dxa"/>
            </w:tcMar>
            <w:vAlign w:val="center"/>
          </w:tcPr>
          <w:p w14:paraId="4FB7564F">
            <w:pPr>
              <w:ind w:firstLine="0"/>
              <w:jc w:val="center"/>
              <w:rPr>
                <w:rFonts w:ascii="Times New Roman" w:hAnsi="Times New Roman" w:eastAsia="宋体"/>
              </w:rPr>
            </w:pPr>
            <w:r>
              <w:rPr>
                <w:rFonts w:ascii="Times New Roman" w:hAnsi="Times New Roman" w:eastAsia="宋体"/>
                <w:b/>
                <w:color w:val="19375A"/>
                <w:sz w:val="17"/>
              </w:rPr>
              <w:t>研究脉络</w:t>
            </w:r>
          </w:p>
        </w:tc>
        <w:tc>
          <w:tcPr>
            <w:tcW w:w="1793" w:type="dxa"/>
            <w:shd w:val="clear" w:color="auto" w:fill="DCE6F1"/>
            <w:tcMar>
              <w:top w:w="70" w:type="dxa"/>
              <w:left w:w="80" w:type="dxa"/>
              <w:bottom w:w="70" w:type="dxa"/>
              <w:right w:w="80" w:type="dxa"/>
            </w:tcMar>
            <w:vAlign w:val="center"/>
          </w:tcPr>
          <w:p w14:paraId="27933002">
            <w:pPr>
              <w:ind w:firstLine="0"/>
              <w:jc w:val="center"/>
              <w:rPr>
                <w:rFonts w:ascii="Times New Roman" w:hAnsi="Times New Roman" w:eastAsia="宋体"/>
              </w:rPr>
            </w:pPr>
            <w:r>
              <w:rPr>
                <w:rFonts w:ascii="Times New Roman" w:hAnsi="Times New Roman" w:eastAsia="宋体"/>
                <w:b/>
                <w:color w:val="19375A"/>
                <w:sz w:val="17"/>
              </w:rPr>
              <w:t>代表工作</w:t>
            </w:r>
          </w:p>
        </w:tc>
        <w:tc>
          <w:tcPr>
            <w:tcW w:w="2500" w:type="dxa"/>
            <w:shd w:val="clear" w:color="auto" w:fill="DCE6F1"/>
            <w:tcMar>
              <w:top w:w="70" w:type="dxa"/>
              <w:left w:w="80" w:type="dxa"/>
              <w:bottom w:w="70" w:type="dxa"/>
              <w:right w:w="80" w:type="dxa"/>
            </w:tcMar>
            <w:vAlign w:val="center"/>
          </w:tcPr>
          <w:p w14:paraId="03BF11BA">
            <w:pPr>
              <w:ind w:firstLine="0"/>
              <w:jc w:val="center"/>
              <w:rPr>
                <w:rFonts w:ascii="Times New Roman" w:hAnsi="Times New Roman" w:eastAsia="宋体"/>
              </w:rPr>
            </w:pPr>
            <w:r>
              <w:rPr>
                <w:rFonts w:ascii="Times New Roman" w:hAnsi="Times New Roman" w:eastAsia="宋体"/>
                <w:b/>
                <w:color w:val="19375A"/>
                <w:sz w:val="17"/>
              </w:rPr>
              <w:t>解决的问题</w:t>
            </w:r>
          </w:p>
        </w:tc>
        <w:tc>
          <w:tcPr>
            <w:tcW w:w="2472" w:type="dxa"/>
            <w:shd w:val="clear" w:color="auto" w:fill="DCE6F1"/>
            <w:tcMar>
              <w:top w:w="70" w:type="dxa"/>
              <w:left w:w="80" w:type="dxa"/>
              <w:bottom w:w="70" w:type="dxa"/>
              <w:right w:w="80" w:type="dxa"/>
            </w:tcMar>
            <w:vAlign w:val="center"/>
          </w:tcPr>
          <w:p w14:paraId="4D40418D">
            <w:pPr>
              <w:ind w:firstLine="0"/>
              <w:jc w:val="center"/>
              <w:rPr>
                <w:rFonts w:ascii="Times New Roman" w:hAnsi="Times New Roman" w:eastAsia="宋体"/>
              </w:rPr>
            </w:pPr>
            <w:r>
              <w:rPr>
                <w:rFonts w:ascii="Times New Roman" w:hAnsi="Times New Roman" w:eastAsia="宋体"/>
                <w:b/>
                <w:color w:val="19375A"/>
                <w:sz w:val="17"/>
              </w:rPr>
              <w:t>仍留下的空白</w:t>
            </w:r>
          </w:p>
        </w:tc>
      </w:tr>
      <w:tr w14:paraId="378F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D8E1637">
            <w:pPr>
              <w:spacing w:after="0"/>
              <w:ind w:firstLine="0"/>
              <w:rPr>
                <w:rFonts w:ascii="Times New Roman" w:hAnsi="Times New Roman" w:eastAsia="宋体"/>
              </w:rPr>
            </w:pPr>
            <w:r>
              <w:rPr>
                <w:rFonts w:ascii="Times New Roman" w:hAnsi="Times New Roman" w:eastAsia="宋体"/>
                <w:sz w:val="17"/>
              </w:rPr>
              <w:t>LLM serving</w:t>
            </w:r>
          </w:p>
        </w:tc>
        <w:tc>
          <w:tcPr>
            <w:tcW w:w="1793" w:type="dxa"/>
            <w:tcMar>
              <w:top w:w="70" w:type="dxa"/>
              <w:left w:w="80" w:type="dxa"/>
              <w:bottom w:w="70" w:type="dxa"/>
              <w:right w:w="80" w:type="dxa"/>
            </w:tcMar>
            <w:vAlign w:val="center"/>
          </w:tcPr>
          <w:p w14:paraId="27360472">
            <w:pPr>
              <w:spacing w:after="0"/>
              <w:ind w:firstLine="0"/>
              <w:rPr>
                <w:rFonts w:ascii="Times New Roman" w:hAnsi="Times New Roman" w:eastAsia="宋体"/>
              </w:rPr>
            </w:pPr>
            <w:r>
              <w:rPr>
                <w:rFonts w:ascii="Times New Roman" w:hAnsi="Times New Roman" w:eastAsia="宋体"/>
                <w:sz w:val="17"/>
              </w:rPr>
              <w:t>vLLM/PagedAttention、Pensieve 等</w:t>
            </w:r>
          </w:p>
        </w:tc>
        <w:tc>
          <w:tcPr>
            <w:tcW w:w="2500" w:type="dxa"/>
            <w:tcMar>
              <w:top w:w="70" w:type="dxa"/>
              <w:left w:w="80" w:type="dxa"/>
              <w:bottom w:w="70" w:type="dxa"/>
              <w:right w:w="80" w:type="dxa"/>
            </w:tcMar>
            <w:vAlign w:val="center"/>
          </w:tcPr>
          <w:p w14:paraId="2416FA7F">
            <w:pPr>
              <w:spacing w:after="0"/>
              <w:ind w:firstLine="0"/>
              <w:rPr>
                <w:rFonts w:ascii="Times New Roman" w:hAnsi="Times New Roman" w:eastAsia="宋体"/>
              </w:rPr>
            </w:pPr>
            <w:r>
              <w:rPr>
                <w:rFonts w:ascii="Times New Roman" w:hAnsi="Times New Roman" w:eastAsia="宋体"/>
                <w:sz w:val="17"/>
              </w:rPr>
              <w:t>KV cache、批处理、状态复用和吞吐</w:t>
            </w:r>
          </w:p>
        </w:tc>
        <w:tc>
          <w:tcPr>
            <w:tcW w:w="2472" w:type="dxa"/>
            <w:tcMar>
              <w:top w:w="70" w:type="dxa"/>
              <w:left w:w="80" w:type="dxa"/>
              <w:bottom w:w="70" w:type="dxa"/>
              <w:right w:w="80" w:type="dxa"/>
            </w:tcMar>
            <w:vAlign w:val="center"/>
          </w:tcPr>
          <w:p w14:paraId="2506A79C">
            <w:pPr>
              <w:spacing w:after="0"/>
              <w:ind w:firstLine="0"/>
              <w:rPr>
                <w:rFonts w:ascii="Times New Roman" w:hAnsi="Times New Roman" w:eastAsia="宋体"/>
              </w:rPr>
            </w:pPr>
            <w:r>
              <w:rPr>
                <w:rFonts w:ascii="Times New Roman" w:hAnsi="Times New Roman" w:eastAsia="宋体"/>
                <w:sz w:val="17"/>
              </w:rPr>
              <w:t>不提供同步语义感知的 request wall-clock 归因</w:t>
            </w:r>
          </w:p>
        </w:tc>
      </w:tr>
      <w:tr w14:paraId="656FB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8FAFC"/>
            <w:tcMar>
              <w:top w:w="70" w:type="dxa"/>
              <w:left w:w="80" w:type="dxa"/>
              <w:bottom w:w="70" w:type="dxa"/>
              <w:right w:w="80" w:type="dxa"/>
            </w:tcMar>
            <w:vAlign w:val="center"/>
          </w:tcPr>
          <w:p w14:paraId="11FA9F90">
            <w:pPr>
              <w:spacing w:after="0"/>
              <w:ind w:firstLine="0"/>
              <w:rPr>
                <w:rFonts w:ascii="Times New Roman" w:hAnsi="Times New Roman" w:eastAsia="宋体"/>
              </w:rPr>
            </w:pPr>
            <w:r>
              <w:rPr>
                <w:rFonts w:ascii="Times New Roman" w:hAnsi="Times New Roman" w:eastAsia="宋体"/>
                <w:sz w:val="17"/>
              </w:rPr>
              <w:t>跨栈 profiling</w:t>
            </w:r>
          </w:p>
        </w:tc>
        <w:tc>
          <w:tcPr>
            <w:tcW w:w="1793" w:type="dxa"/>
            <w:shd w:val="clear" w:color="auto" w:fill="F8FAFC"/>
            <w:tcMar>
              <w:top w:w="70" w:type="dxa"/>
              <w:left w:w="80" w:type="dxa"/>
              <w:bottom w:w="70" w:type="dxa"/>
              <w:right w:w="80" w:type="dxa"/>
            </w:tcMar>
            <w:vAlign w:val="center"/>
          </w:tcPr>
          <w:p w14:paraId="3CF530C8">
            <w:pPr>
              <w:spacing w:after="0"/>
              <w:ind w:firstLine="0"/>
              <w:rPr>
                <w:rFonts w:ascii="Times New Roman" w:hAnsi="Times New Roman" w:eastAsia="宋体"/>
              </w:rPr>
            </w:pPr>
            <w:r>
              <w:rPr>
                <w:rFonts w:ascii="Times New Roman" w:hAnsi="Times New Roman" w:eastAsia="宋体"/>
                <w:sz w:val="17"/>
              </w:rPr>
              <w:t>XSP、RL-Scope</w:t>
            </w:r>
          </w:p>
        </w:tc>
        <w:tc>
          <w:tcPr>
            <w:tcW w:w="2500" w:type="dxa"/>
            <w:shd w:val="clear" w:color="auto" w:fill="F8FAFC"/>
            <w:tcMar>
              <w:top w:w="70" w:type="dxa"/>
              <w:left w:w="80" w:type="dxa"/>
              <w:bottom w:w="70" w:type="dxa"/>
              <w:right w:w="80" w:type="dxa"/>
            </w:tcMar>
            <w:vAlign w:val="center"/>
          </w:tcPr>
          <w:p w14:paraId="02549879">
            <w:pPr>
              <w:spacing w:after="0"/>
              <w:ind w:firstLine="0"/>
              <w:rPr>
                <w:rFonts w:ascii="Times New Roman" w:hAnsi="Times New Roman" w:eastAsia="宋体"/>
              </w:rPr>
            </w:pPr>
            <w:r>
              <w:rPr>
                <w:rFonts w:ascii="Times New Roman" w:hAnsi="Times New Roman" w:eastAsia="宋体"/>
                <w:sz w:val="17"/>
              </w:rPr>
              <w:t>把框架操作与 CPU/GPU trace 对齐；修正 profiling overhead</w:t>
            </w:r>
          </w:p>
        </w:tc>
        <w:tc>
          <w:tcPr>
            <w:tcW w:w="2472" w:type="dxa"/>
            <w:shd w:val="clear" w:color="auto" w:fill="F8FAFC"/>
            <w:tcMar>
              <w:top w:w="70" w:type="dxa"/>
              <w:left w:w="80" w:type="dxa"/>
              <w:bottom w:w="70" w:type="dxa"/>
              <w:right w:w="80" w:type="dxa"/>
            </w:tcMar>
            <w:vAlign w:val="center"/>
          </w:tcPr>
          <w:p w14:paraId="7A843C92">
            <w:pPr>
              <w:spacing w:after="0"/>
              <w:ind w:firstLine="0"/>
              <w:rPr>
                <w:rFonts w:ascii="Times New Roman" w:hAnsi="Times New Roman" w:eastAsia="宋体"/>
              </w:rPr>
            </w:pPr>
            <w:r>
              <w:rPr>
                <w:rFonts w:ascii="Times New Roman" w:hAnsi="Times New Roman" w:eastAsia="宋体"/>
                <w:sz w:val="17"/>
              </w:rPr>
              <w:t>通常不是互斥墙钟记账，也不恢复 sync wait set</w:t>
            </w:r>
          </w:p>
        </w:tc>
      </w:tr>
      <w:tr w14:paraId="6FC3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00A3A66">
            <w:pPr>
              <w:spacing w:after="0"/>
              <w:ind w:firstLine="0"/>
              <w:rPr>
                <w:rFonts w:ascii="Times New Roman" w:hAnsi="Times New Roman" w:eastAsia="宋体"/>
              </w:rPr>
            </w:pPr>
            <w:r>
              <w:rPr>
                <w:rFonts w:ascii="Times New Roman" w:hAnsi="Times New Roman" w:eastAsia="宋体"/>
                <w:sz w:val="17"/>
              </w:rPr>
              <w:t>预测/因果 profiling</w:t>
            </w:r>
          </w:p>
        </w:tc>
        <w:tc>
          <w:tcPr>
            <w:tcW w:w="1793" w:type="dxa"/>
            <w:tcMar>
              <w:top w:w="70" w:type="dxa"/>
              <w:left w:w="80" w:type="dxa"/>
              <w:bottom w:w="70" w:type="dxa"/>
              <w:right w:w="80" w:type="dxa"/>
            </w:tcMar>
            <w:vAlign w:val="center"/>
          </w:tcPr>
          <w:p w14:paraId="5080C964">
            <w:pPr>
              <w:spacing w:after="0"/>
              <w:ind w:firstLine="0"/>
              <w:rPr>
                <w:rFonts w:ascii="Times New Roman" w:hAnsi="Times New Roman" w:eastAsia="宋体"/>
              </w:rPr>
            </w:pPr>
            <w:r>
              <w:rPr>
                <w:rFonts w:ascii="Times New Roman" w:hAnsi="Times New Roman" w:eastAsia="宋体"/>
                <w:sz w:val="17"/>
              </w:rPr>
              <w:t>Coz、Daydream</w:t>
            </w:r>
          </w:p>
        </w:tc>
        <w:tc>
          <w:tcPr>
            <w:tcW w:w="2500" w:type="dxa"/>
            <w:tcMar>
              <w:top w:w="70" w:type="dxa"/>
              <w:left w:w="80" w:type="dxa"/>
              <w:bottom w:w="70" w:type="dxa"/>
              <w:right w:w="80" w:type="dxa"/>
            </w:tcMar>
            <w:vAlign w:val="center"/>
          </w:tcPr>
          <w:p w14:paraId="2623D75C">
            <w:pPr>
              <w:spacing w:after="0"/>
              <w:ind w:firstLine="0"/>
              <w:rPr>
                <w:rFonts w:ascii="Times New Roman" w:hAnsi="Times New Roman" w:eastAsia="宋体"/>
              </w:rPr>
            </w:pPr>
            <w:r>
              <w:rPr>
                <w:rFonts w:ascii="Times New Roman" w:hAnsi="Times New Roman" w:eastAsia="宋体"/>
                <w:sz w:val="17"/>
              </w:rPr>
              <w:t>估计优化潜力或模拟优化效果</w:t>
            </w:r>
          </w:p>
        </w:tc>
        <w:tc>
          <w:tcPr>
            <w:tcW w:w="2472" w:type="dxa"/>
            <w:tcMar>
              <w:top w:w="70" w:type="dxa"/>
              <w:left w:w="80" w:type="dxa"/>
              <w:bottom w:w="70" w:type="dxa"/>
              <w:right w:w="80" w:type="dxa"/>
            </w:tcMar>
            <w:vAlign w:val="center"/>
          </w:tcPr>
          <w:p w14:paraId="1E95D4DB">
            <w:pPr>
              <w:spacing w:after="0"/>
              <w:ind w:firstLine="0"/>
              <w:rPr>
                <w:rFonts w:ascii="Times New Roman" w:hAnsi="Times New Roman" w:eastAsia="宋体"/>
              </w:rPr>
            </w:pPr>
            <w:r>
              <w:rPr>
                <w:rFonts w:ascii="Times New Roman" w:hAnsi="Times New Roman" w:eastAsia="宋体"/>
                <w:sz w:val="17"/>
              </w:rPr>
              <w:t>需要运行时干预或依赖图；不是本项目的必要前提</w:t>
            </w:r>
          </w:p>
        </w:tc>
      </w:tr>
      <w:tr w14:paraId="3DAA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8FAFC"/>
            <w:tcMar>
              <w:top w:w="70" w:type="dxa"/>
              <w:left w:w="80" w:type="dxa"/>
              <w:bottom w:w="70" w:type="dxa"/>
              <w:right w:w="80" w:type="dxa"/>
            </w:tcMar>
            <w:vAlign w:val="center"/>
          </w:tcPr>
          <w:p w14:paraId="04ABA212">
            <w:pPr>
              <w:spacing w:after="0"/>
              <w:ind w:firstLine="0"/>
              <w:rPr>
                <w:rFonts w:ascii="Times New Roman" w:hAnsi="Times New Roman" w:eastAsia="宋体"/>
              </w:rPr>
            </w:pPr>
            <w:r>
              <w:rPr>
                <w:rFonts w:ascii="Times New Roman" w:hAnsi="Times New Roman" w:eastAsia="宋体"/>
                <w:sz w:val="17"/>
              </w:rPr>
              <w:t>CPU-GPU coupling</w:t>
            </w:r>
          </w:p>
        </w:tc>
        <w:tc>
          <w:tcPr>
            <w:tcW w:w="1793" w:type="dxa"/>
            <w:shd w:val="clear" w:color="auto" w:fill="F8FAFC"/>
            <w:tcMar>
              <w:top w:w="70" w:type="dxa"/>
              <w:left w:w="80" w:type="dxa"/>
              <w:bottom w:w="70" w:type="dxa"/>
              <w:right w:w="80" w:type="dxa"/>
            </w:tcMar>
            <w:vAlign w:val="center"/>
          </w:tcPr>
          <w:p w14:paraId="65005A3E">
            <w:pPr>
              <w:spacing w:after="0"/>
              <w:ind w:firstLine="0"/>
              <w:rPr>
                <w:rFonts w:ascii="Times New Roman" w:hAnsi="Times New Roman" w:eastAsia="宋体"/>
              </w:rPr>
            </w:pPr>
            <w:r>
              <w:rPr>
                <w:rFonts w:ascii="Times New Roman" w:hAnsi="Times New Roman" w:eastAsia="宋体"/>
                <w:sz w:val="17"/>
              </w:rPr>
              <w:t>SKIP/TKLQT</w:t>
            </w:r>
          </w:p>
        </w:tc>
        <w:tc>
          <w:tcPr>
            <w:tcW w:w="2500" w:type="dxa"/>
            <w:shd w:val="clear" w:color="auto" w:fill="F8FAFC"/>
            <w:tcMar>
              <w:top w:w="70" w:type="dxa"/>
              <w:left w:w="80" w:type="dxa"/>
              <w:bottom w:w="70" w:type="dxa"/>
              <w:right w:w="80" w:type="dxa"/>
            </w:tcMar>
            <w:vAlign w:val="center"/>
          </w:tcPr>
          <w:p w14:paraId="702260E3">
            <w:pPr>
              <w:spacing w:after="0"/>
              <w:ind w:firstLine="0"/>
              <w:rPr>
                <w:rFonts w:ascii="Times New Roman" w:hAnsi="Times New Roman" w:eastAsia="宋体"/>
              </w:rPr>
            </w:pPr>
            <w:r>
              <w:rPr>
                <w:rFonts w:ascii="Times New Roman" w:hAnsi="Times New Roman" w:eastAsia="宋体"/>
                <w:sz w:val="17"/>
              </w:rPr>
              <w:t>用 launch+queue 指标识别 CPU/GPU-bound 转换</w:t>
            </w:r>
          </w:p>
        </w:tc>
        <w:tc>
          <w:tcPr>
            <w:tcW w:w="2472" w:type="dxa"/>
            <w:shd w:val="clear" w:color="auto" w:fill="F8FAFC"/>
            <w:tcMar>
              <w:top w:w="70" w:type="dxa"/>
              <w:left w:w="80" w:type="dxa"/>
              <w:bottom w:w="70" w:type="dxa"/>
              <w:right w:w="80" w:type="dxa"/>
            </w:tcMar>
            <w:vAlign w:val="center"/>
          </w:tcPr>
          <w:p w14:paraId="578D0EC3">
            <w:pPr>
              <w:spacing w:after="0"/>
              <w:ind w:firstLine="0"/>
              <w:rPr>
                <w:rFonts w:ascii="Times New Roman" w:hAnsi="Times New Roman" w:eastAsia="宋体"/>
              </w:rPr>
            </w:pPr>
            <w:r>
              <w:rPr>
                <w:rFonts w:ascii="Times New Roman" w:hAnsi="Times New Roman" w:eastAsia="宋体"/>
                <w:sz w:val="17"/>
              </w:rPr>
              <w:t>聚合 queue 指标难区分 sync 内设备执行、Host path 与 residual</w:t>
            </w:r>
          </w:p>
        </w:tc>
      </w:tr>
      <w:tr w14:paraId="2DE21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3725881">
            <w:pPr>
              <w:spacing w:after="0"/>
              <w:ind w:firstLine="0"/>
              <w:rPr>
                <w:rFonts w:ascii="Times New Roman" w:hAnsi="Times New Roman" w:eastAsia="宋体"/>
              </w:rPr>
            </w:pPr>
            <w:r>
              <w:rPr>
                <w:rFonts w:ascii="Times New Roman" w:hAnsi="Times New Roman" w:eastAsia="宋体"/>
                <w:sz w:val="17"/>
              </w:rPr>
              <w:t>LLM phase profiler</w:t>
            </w:r>
          </w:p>
        </w:tc>
        <w:tc>
          <w:tcPr>
            <w:tcW w:w="1793" w:type="dxa"/>
            <w:tcMar>
              <w:top w:w="70" w:type="dxa"/>
              <w:left w:w="80" w:type="dxa"/>
              <w:bottom w:w="70" w:type="dxa"/>
              <w:right w:w="80" w:type="dxa"/>
            </w:tcMar>
            <w:vAlign w:val="center"/>
          </w:tcPr>
          <w:p w14:paraId="44A6CC66">
            <w:pPr>
              <w:spacing w:after="0"/>
              <w:ind w:firstLine="0"/>
              <w:rPr>
                <w:rFonts w:ascii="Times New Roman" w:hAnsi="Times New Roman" w:eastAsia="宋体"/>
              </w:rPr>
            </w:pPr>
            <w:r>
              <w:rPr>
                <w:rFonts w:ascii="Times New Roman" w:hAnsi="Times New Roman" w:eastAsia="宋体"/>
                <w:sz w:val="17"/>
              </w:rPr>
              <w:t>lm-Meter</w:t>
            </w:r>
          </w:p>
        </w:tc>
        <w:tc>
          <w:tcPr>
            <w:tcW w:w="2500" w:type="dxa"/>
            <w:tcMar>
              <w:top w:w="70" w:type="dxa"/>
              <w:left w:w="80" w:type="dxa"/>
              <w:bottom w:w="70" w:type="dxa"/>
              <w:right w:w="80" w:type="dxa"/>
            </w:tcMar>
            <w:vAlign w:val="center"/>
          </w:tcPr>
          <w:p w14:paraId="4BCAF8AD">
            <w:pPr>
              <w:spacing w:after="0"/>
              <w:ind w:firstLine="0"/>
              <w:rPr>
                <w:rFonts w:ascii="Times New Roman" w:hAnsi="Times New Roman" w:eastAsia="宋体"/>
              </w:rPr>
            </w:pPr>
            <w:r>
              <w:rPr>
                <w:rFonts w:ascii="Times New Roman" w:hAnsi="Times New Roman" w:eastAsia="宋体"/>
                <w:sz w:val="17"/>
              </w:rPr>
              <w:t>端侧 embedding/prefill/decode/kernel latency</w:t>
            </w:r>
          </w:p>
        </w:tc>
        <w:tc>
          <w:tcPr>
            <w:tcW w:w="2472" w:type="dxa"/>
            <w:tcMar>
              <w:top w:w="70" w:type="dxa"/>
              <w:left w:w="80" w:type="dxa"/>
              <w:bottom w:w="70" w:type="dxa"/>
              <w:right w:w="80" w:type="dxa"/>
            </w:tcMar>
            <w:vAlign w:val="center"/>
          </w:tcPr>
          <w:p w14:paraId="3C2A5685">
            <w:pPr>
              <w:spacing w:after="0"/>
              <w:ind w:firstLine="0"/>
              <w:rPr>
                <w:rFonts w:ascii="Times New Roman" w:hAnsi="Times New Roman" w:eastAsia="宋体"/>
              </w:rPr>
            </w:pPr>
            <w:r>
              <w:rPr>
                <w:rFonts w:ascii="Times New Roman" w:hAnsi="Times New Roman" w:eastAsia="宋体"/>
                <w:sz w:val="17"/>
              </w:rPr>
              <w:t>平台与实现专用；不是基于 CUDA sync 语义的守恒记账</w:t>
            </w:r>
          </w:p>
        </w:tc>
      </w:tr>
      <w:tr w14:paraId="54BE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701" w:type="dxa"/>
            <w:shd w:val="clear" w:color="auto" w:fill="F8FAFC"/>
            <w:tcMar>
              <w:top w:w="70" w:type="dxa"/>
              <w:left w:w="80" w:type="dxa"/>
              <w:bottom w:w="70" w:type="dxa"/>
              <w:right w:w="80" w:type="dxa"/>
            </w:tcMar>
            <w:vAlign w:val="center"/>
          </w:tcPr>
          <w:p w14:paraId="538113E8">
            <w:pPr>
              <w:spacing w:after="0"/>
              <w:ind w:firstLine="0"/>
              <w:rPr>
                <w:rFonts w:ascii="Times New Roman" w:hAnsi="Times New Roman" w:eastAsia="宋体"/>
              </w:rPr>
            </w:pPr>
            <w:r>
              <w:rPr>
                <w:rFonts w:ascii="Times New Roman" w:hAnsi="Times New Roman" w:eastAsia="宋体"/>
                <w:sz w:val="17"/>
              </w:rPr>
              <w:t>Host overhead decomposition</w:t>
            </w:r>
          </w:p>
        </w:tc>
        <w:tc>
          <w:tcPr>
            <w:tcW w:w="1793" w:type="dxa"/>
            <w:shd w:val="clear" w:color="auto" w:fill="F8FAFC"/>
            <w:tcMar>
              <w:top w:w="70" w:type="dxa"/>
              <w:left w:w="80" w:type="dxa"/>
              <w:bottom w:w="70" w:type="dxa"/>
              <w:right w:w="80" w:type="dxa"/>
            </w:tcMar>
            <w:vAlign w:val="center"/>
          </w:tcPr>
          <w:p w14:paraId="7BB702B2">
            <w:pPr>
              <w:spacing w:after="0"/>
              <w:ind w:firstLine="0"/>
              <w:rPr>
                <w:rFonts w:ascii="Times New Roman" w:hAnsi="Times New Roman" w:eastAsia="宋体"/>
              </w:rPr>
            </w:pPr>
            <w:r>
              <w:rPr>
                <w:rFonts w:ascii="Times New Roman" w:hAnsi="Times New Roman" w:eastAsia="宋体"/>
                <w:sz w:val="17"/>
              </w:rPr>
              <w:t>TaxBreak</w:t>
            </w:r>
          </w:p>
        </w:tc>
        <w:tc>
          <w:tcPr>
            <w:tcW w:w="2500" w:type="dxa"/>
            <w:shd w:val="clear" w:color="auto" w:fill="F8FAFC"/>
            <w:tcMar>
              <w:top w:w="70" w:type="dxa"/>
              <w:left w:w="80" w:type="dxa"/>
              <w:bottom w:w="70" w:type="dxa"/>
              <w:right w:w="80" w:type="dxa"/>
            </w:tcMar>
            <w:vAlign w:val="center"/>
          </w:tcPr>
          <w:p w14:paraId="24519F2D">
            <w:pPr>
              <w:spacing w:after="0"/>
              <w:ind w:firstLine="0"/>
              <w:rPr>
                <w:rFonts w:ascii="Times New Roman" w:hAnsi="Times New Roman" w:eastAsia="宋体"/>
              </w:rPr>
            </w:pPr>
            <w:r>
              <w:rPr>
                <w:rFonts w:ascii="Times New Roman" w:hAnsi="Times New Roman" w:eastAsia="宋体"/>
                <w:sz w:val="17"/>
              </w:rPr>
              <w:t>framework/library/launch-path 与 Host-Device Balance</w:t>
            </w:r>
          </w:p>
        </w:tc>
        <w:tc>
          <w:tcPr>
            <w:tcW w:w="2472" w:type="dxa"/>
            <w:shd w:val="clear" w:color="auto" w:fill="F8FAFC"/>
            <w:tcMar>
              <w:top w:w="70" w:type="dxa"/>
              <w:left w:w="80" w:type="dxa"/>
              <w:bottom w:w="70" w:type="dxa"/>
              <w:right w:w="80" w:type="dxa"/>
            </w:tcMar>
            <w:vAlign w:val="center"/>
          </w:tcPr>
          <w:p w14:paraId="5F39D345">
            <w:pPr>
              <w:spacing w:after="0"/>
              <w:ind w:firstLine="0"/>
              <w:rPr>
                <w:rFonts w:ascii="Times New Roman" w:hAnsi="Times New Roman" w:eastAsia="宋体"/>
              </w:rPr>
            </w:pPr>
            <w:r>
              <w:rPr>
                <w:rFonts w:ascii="Times New Roman" w:hAnsi="Times New Roman" w:eastAsia="宋体"/>
                <w:sz w:val="17"/>
              </w:rPr>
              <w:t>聚焦 Host orchestration；与同步等待集合及 per-sync provenance 互补</w:t>
            </w:r>
          </w:p>
        </w:tc>
      </w:tr>
      <w:tr w14:paraId="20120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2D7CD20">
            <w:pPr>
              <w:spacing w:after="0"/>
              <w:ind w:firstLine="0"/>
              <w:rPr>
                <w:rFonts w:ascii="Times New Roman" w:hAnsi="Times New Roman" w:eastAsia="宋体"/>
              </w:rPr>
            </w:pPr>
            <w:r>
              <w:rPr>
                <w:rFonts w:ascii="Times New Roman" w:hAnsi="Times New Roman" w:eastAsia="宋体"/>
                <w:sz w:val="17"/>
              </w:rPr>
              <w:t>通用 GPU 工具</w:t>
            </w:r>
          </w:p>
        </w:tc>
        <w:tc>
          <w:tcPr>
            <w:tcW w:w="1793" w:type="dxa"/>
            <w:tcMar>
              <w:top w:w="70" w:type="dxa"/>
              <w:left w:w="80" w:type="dxa"/>
              <w:bottom w:w="70" w:type="dxa"/>
              <w:right w:w="80" w:type="dxa"/>
            </w:tcMar>
            <w:vAlign w:val="center"/>
          </w:tcPr>
          <w:p w14:paraId="7FF439F3">
            <w:pPr>
              <w:spacing w:after="0"/>
              <w:ind w:firstLine="0"/>
              <w:rPr>
                <w:rFonts w:ascii="Times New Roman" w:hAnsi="Times New Roman" w:eastAsia="宋体"/>
              </w:rPr>
            </w:pPr>
            <w:r>
              <w:rPr>
                <w:rFonts w:ascii="Times New Roman" w:hAnsi="Times New Roman" w:eastAsia="宋体"/>
                <w:sz w:val="17"/>
              </w:rPr>
              <w:t>Nsight Systems/CUPTI</w:t>
            </w:r>
          </w:p>
        </w:tc>
        <w:tc>
          <w:tcPr>
            <w:tcW w:w="2500" w:type="dxa"/>
            <w:tcMar>
              <w:top w:w="70" w:type="dxa"/>
              <w:left w:w="80" w:type="dxa"/>
              <w:bottom w:w="70" w:type="dxa"/>
              <w:right w:w="80" w:type="dxa"/>
            </w:tcMar>
            <w:vAlign w:val="center"/>
          </w:tcPr>
          <w:p w14:paraId="266E93D3">
            <w:pPr>
              <w:spacing w:after="0"/>
              <w:ind w:firstLine="0"/>
              <w:rPr>
                <w:rFonts w:ascii="Times New Roman" w:hAnsi="Times New Roman" w:eastAsia="宋体"/>
              </w:rPr>
            </w:pPr>
            <w:r>
              <w:rPr>
                <w:rFonts w:ascii="Times New Roman" w:hAnsi="Times New Roman" w:eastAsia="宋体"/>
                <w:sz w:val="17"/>
              </w:rPr>
              <w:t>提供高精度 API、kernel、sync 与 correlation 事实</w:t>
            </w:r>
          </w:p>
        </w:tc>
        <w:tc>
          <w:tcPr>
            <w:tcW w:w="2472" w:type="dxa"/>
            <w:tcMar>
              <w:top w:w="70" w:type="dxa"/>
              <w:left w:w="80" w:type="dxa"/>
              <w:bottom w:w="70" w:type="dxa"/>
              <w:right w:w="80" w:type="dxa"/>
            </w:tcMar>
            <w:vAlign w:val="center"/>
          </w:tcPr>
          <w:p w14:paraId="5359E752">
            <w:pPr>
              <w:spacing w:after="0"/>
              <w:ind w:firstLine="0"/>
              <w:rPr>
                <w:rFonts w:ascii="Times New Roman" w:hAnsi="Times New Roman" w:eastAsia="宋体"/>
              </w:rPr>
            </w:pPr>
            <w:r>
              <w:rPr>
                <w:rFonts w:ascii="Times New Roman" w:hAnsi="Times New Roman" w:eastAsia="宋体"/>
                <w:sz w:val="17"/>
              </w:rPr>
              <w:t>工具输出是事件，不等于可加和的关键路径解释</w:t>
            </w:r>
          </w:p>
        </w:tc>
      </w:tr>
    </w:tbl>
    <w:p w14:paraId="0E9C095D">
      <w:pPr>
        <w:spacing w:after="20"/>
        <w:rPr>
          <w:rFonts w:ascii="Times New Roman" w:hAnsi="Times New Roman" w:eastAsia="宋体"/>
        </w:rPr>
      </w:pPr>
    </w:p>
    <w:p w14:paraId="31B48FB4">
      <w:pPr>
        <w:pStyle w:val="4"/>
        <w:rPr>
          <w:rFonts w:ascii="Times New Roman" w:hAnsi="Times New Roman" w:eastAsia="宋体"/>
        </w:rPr>
      </w:pPr>
      <w:r>
        <w:rPr>
          <w:rFonts w:ascii="Times New Roman" w:hAnsi="Times New Roman" w:eastAsia="宋体"/>
          <w:color w:val="000000"/>
        </w:rPr>
        <w:t>1.3 核心学术缺口</w:t>
      </w:r>
    </w:p>
    <w:p w14:paraId="61194677">
      <w:pPr>
        <w:pStyle w:val="16"/>
        <w:ind w:firstLine="0"/>
        <w:rPr>
          <w:rFonts w:ascii="Times New Roman" w:hAnsi="Times New Roman" w:eastAsia="宋体"/>
        </w:rPr>
      </w:pPr>
      <w:r>
        <w:rPr>
          <w:rFonts w:ascii="Times New Roman" w:hAnsi="Times New Roman" w:eastAsia="宋体"/>
          <w:color w:val="000000"/>
        </w:rPr>
        <w:t>缺口 G1：Raw API、kernel 和同步 duration 可能重叠，简单求和不能得到 request 关键路径，也会导致重复归因。</w:t>
      </w:r>
    </w:p>
    <w:p w14:paraId="5305ED41">
      <w:pPr>
        <w:pStyle w:val="16"/>
        <w:ind w:firstLine="0"/>
        <w:rPr>
          <w:rFonts w:ascii="Times New Roman" w:hAnsi="Times New Roman" w:eastAsia="宋体"/>
        </w:rPr>
      </w:pPr>
      <w:r>
        <w:rPr>
          <w:rFonts w:ascii="Times New Roman" w:hAnsi="Times New Roman" w:eastAsia="宋体"/>
          <w:color w:val="000000"/>
        </w:rPr>
        <w:t>缺口 G2：现有 launch/queue 或 Host residual 指标通常不根据 stream/device/event 的真实同步语义构造等待集合，难以判断同步期间设备是否仍在完成依赖。</w:t>
      </w:r>
    </w:p>
    <w:p w14:paraId="7F3FB127">
      <w:pPr>
        <w:pStyle w:val="16"/>
        <w:ind w:firstLine="0"/>
        <w:rPr>
          <w:rFonts w:ascii="Times New Roman" w:hAnsi="Times New Roman" w:eastAsia="宋体"/>
        </w:rPr>
      </w:pPr>
      <w:r>
        <w:rPr>
          <w:rFonts w:ascii="Times New Roman" w:hAnsi="Times New Roman" w:eastAsia="宋体"/>
          <w:color w:val="000000"/>
        </w:rPr>
        <w:t>缺口 G3：阶段级指标与单次同步解释常被混在一起；若把每个 sync 的局部生命周期跨 sync 求和，会远大于 phase latency。</w:t>
      </w:r>
    </w:p>
    <w:p w14:paraId="40140551">
      <w:pPr>
        <w:pStyle w:val="16"/>
        <w:ind w:firstLine="0"/>
        <w:rPr>
          <w:rFonts w:ascii="Times New Roman" w:hAnsi="Times New Roman" w:eastAsia="宋体"/>
        </w:rPr>
      </w:pPr>
      <w:r>
        <w:rPr>
          <w:rFonts w:ascii="Times New Roman" w:hAnsi="Times New Roman" w:eastAsia="宋体"/>
          <w:color w:val="000000"/>
        </w:rPr>
        <w:t>缺口 G4：多数工作对证据不足的 event、ownership 或时间顺序采用近似或忽略；缺少 fail-closed 的 invalid reason 与覆盖率。</w:t>
      </w:r>
    </w:p>
    <w:p w14:paraId="28A1E163">
      <w:pPr>
        <w:pStyle w:val="16"/>
        <w:ind w:firstLine="0"/>
        <w:rPr>
          <w:rFonts w:ascii="Times New Roman" w:hAnsi="Times New Roman" w:eastAsia="宋体"/>
        </w:rPr>
      </w:pPr>
      <w:r>
        <w:rPr>
          <w:rFonts w:ascii="Times New Roman" w:hAnsi="Times New Roman" w:eastAsia="宋体"/>
          <w:color w:val="000000"/>
        </w:rPr>
        <w:t>缺口 G5：本地推理中 W/M/P/C 的变化会同时改变 Host/API、设备执行和同步结构，但缺少统一核心因变量来比较这些因素。</w:t>
      </w:r>
    </w:p>
    <w:p w14:paraId="4463ED3D">
      <w:pPr>
        <w:pStyle w:val="16"/>
        <w:rPr>
          <w:rFonts w:ascii="Times New Roman" w:hAnsi="Times New Roman" w:eastAsia="宋体"/>
          <w:highlight w:val="none"/>
        </w:rPr>
      </w:pPr>
      <w:r>
        <w:rPr>
          <w:rFonts w:ascii="Times New Roman" w:hAnsi="Times New Roman" w:eastAsia="宋体"/>
          <w:color w:val="000000"/>
        </w:rPr>
        <w:t>缺口 G6：GPU 微架构与性能模型能够解释 kernel 为什么耗时，但不能直接确定这些设备执行在异步提交和同步等待条件下有多少真正暴露到 request/phase 墙钟。</w:t>
      </w:r>
    </w:p>
    <w:p w14:paraId="5AD27A34">
      <w:pPr>
        <w:pStyle w:val="16"/>
        <w:rPr>
          <w:rFonts w:ascii="Times New Roman" w:hAnsi="Times New Roman" w:eastAsia="宋体"/>
          <w:highlight w:val="none"/>
        </w:rPr>
      </w:pPr>
      <w:r>
        <w:rPr>
          <w:rFonts w:ascii="Times New Roman" w:hAnsi="Times New Roman" w:eastAsia="宋体"/>
          <w:color w:val="000000"/>
        </w:rPr>
        <w:t>缺口 G7：现有推理优化通常报告 speedup、吞吐、GPU 利用率或事件数量，但缺少对 Host/API 收缩、device execution 改善、等待重叠变化及抵消项的互斥、守恒墙钟响应分解。</w:t>
      </w:r>
    </w:p>
    <w:p w14:paraId="5B711E59">
      <w:pPr>
        <w:pStyle w:val="4"/>
        <w:rPr>
          <w:rFonts w:ascii="Times New Roman" w:hAnsi="Times New Roman" w:eastAsia="宋体"/>
        </w:rPr>
      </w:pPr>
      <w:r>
        <w:rPr>
          <w:rFonts w:ascii="Times New Roman" w:hAnsi="Times New Roman" w:eastAsia="宋体"/>
          <w:color w:val="000000"/>
        </w:rPr>
        <w:t>1.4 ExposedPath 的研究定位</w:t>
      </w:r>
    </w:p>
    <w:p>
      <w:pPr>
        <w:pStyle w:val="167"/>
      </w:pPr>
      <w:r>
        <w:rPr>
          <w:color w:val="000000"/>
        </w:rPr>
        <w:t>核心问题：在延迟敏感、异步 LLM 推理中，Host 与 GPU 完成了多少活动，与其中多少通过 synchronization/completion dependency 暴露到 request/Prefill/Decode wall-clock，并不是同一个测量对象。ExposedPath 测量后者。</w:t>
      </w:r>
    </w:p>
    <w:p>
      <w:pPr/>
      <w:r>
        <w:rPr>
          <w:color w:val="000000"/>
        </w:rPr>
        <w:t>核心贡献边界限定为单 GPU、请求内部的 Host–device exposure。多 GPU、分布式 serving、并发 ownership、硬件因果归因和通用性能预测均不在当前 claim 内。</w:t>
      </w:r>
    </w:p>
    <w:p w14:paraId="2E523E68">
      <w:pPr>
        <w:pStyle w:val="167"/>
        <w:shd w:val="clear" w:fill="E6F3EB"/>
        <w:rPr>
          <w:rFonts w:ascii="Times New Roman" w:hAnsi="Times New Roman" w:eastAsia="宋体"/>
        </w:rPr>
      </w:pPr>
      <w:r>
        <w:rPr>
          <w:rFonts w:ascii="Times New Roman" w:hAnsi="Times New Roman" w:eastAsia="宋体"/>
          <w:b/>
          <w:color w:val="000000"/>
        </w:rPr>
        <w:t>ExposedPath 不是新的 serving engine，也不是试图恢复全部 CUDA 因果的通用 profiler。它是一种 trace-driven measurement/accounting methodology：在 request/phase 边界和 CUDA 同步语义明确的条件下，把模型执行墙钟分成互斥、守恒的 A 类，并用 B 提供单次同步的局部 provenance 与失败边界。</w:t>
      </w:r>
    </w:p>
    <w:p w14:paraId="3E8CC615">
      <w:pPr>
        <w:rPr>
          <w:rFonts w:ascii="Times New Roman" w:hAnsi="Times New Roman" w:eastAsia="宋体"/>
        </w:rPr>
      </w:pPr>
      <w:r>
        <w:rPr>
          <w:rFonts w:ascii="Times New Roman" w:hAnsi="Times New Roman" w:eastAsia="宋体"/>
          <w:color w:val="000000"/>
        </w:rPr>
        <w:t>该定位必须通过三层证据建立：Q0 用受控 CUDA 微程序和独立 oracle 验证 Correctness；N1/G1 分别以人为 completion-boundary 干预和自然 workload 行为检验 Information Gain；G2 在冻结规则和 held-out 场景下检验 Decision Gain。任何后层结果都不能补偿前层 Gate 失败。</w:t>
      </w:r>
    </w:p>
    <w:p w14:paraId="71B83E45">
      <w:pPr>
        <w:pStyle w:val="4"/>
        <w:rPr>
          <w:rFonts w:ascii="Times New Roman" w:hAnsi="Times New Roman" w:eastAsia="宋体"/>
        </w:rPr>
      </w:pPr>
      <w:r>
        <w:rPr>
          <w:rFonts w:ascii="Times New Roman" w:hAnsi="Times New Roman" w:eastAsia="宋体"/>
          <w:color w:val="000000"/>
        </w:rPr>
        <w:t>1.5 外层用户 E2E 与内层模型执行边界</w:t>
      </w:r>
    </w:p>
    <w:p w14:paraId="71BE5A48">
      <w:pPr>
        <w:ind w:firstLine="0"/>
        <w:jc w:val="center"/>
        <w:rPr>
          <w:rFonts w:ascii="Times New Roman" w:hAnsi="Times New Roman" w:eastAsia="宋体"/>
        </w:rPr>
      </w:pPr>
      <w:r>
        <w:rPr>
          <w:rFonts w:ascii="Times New Roman" w:hAnsi="Times New Roman" w:eastAsia="宋体"/>
          <w:color w:val="000000"/>
        </w:rPr>
        <w:drawing>
          <wp:inline distT="0" distB="0" distL="114300" distR="114300">
            <wp:extent cx="5831840" cy="3064510"/>
            <wp:effectExtent l="0" t="0" r="508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32000" cy="3064872"/>
                    </a:xfrm>
                    <a:prstGeom prst="rect">
                      <a:avLst/>
                    </a:prstGeom>
                  </pic:spPr>
                </pic:pic>
              </a:graphicData>
            </a:graphic>
          </wp:inline>
        </w:drawing>
      </w:r>
    </w:p>
    <w:p w14:paraId="17BCA355">
      <w:pPr>
        <w:pStyle w:val="15"/>
        <w:ind w:firstLine="0"/>
        <w:rPr>
          <w:rFonts w:ascii="Times New Roman" w:hAnsi="Times New Roman" w:eastAsia="宋体"/>
        </w:rPr>
      </w:pPr>
      <w:r>
        <w:rPr>
          <w:rFonts w:ascii="Times New Roman" w:hAnsi="Times New Roman" w:eastAsia="宋体"/>
          <w:color w:val="000000"/>
        </w:rPr>
        <w:t>图 1-1　外层用户 E2E 与内层 Raw→S→{A,B} 测量结构</w:t>
      </w:r>
    </w:p>
    <w:p w14:paraId="63ED0CAE">
      <w:pPr>
        <w:pStyle w:val="169"/>
        <w:shd w:val="clear" w:fill="F3F5F7"/>
        <w:jc w:val="center"/>
        <w:rPr>
          <w:rFonts w:ascii="Times New Roman" w:hAnsi="Times New Roman" w:eastAsia="宋体"/>
        </w:rPr>
      </w:pPr>
      <w:r>
        <w:rPr>
          <w:rFonts w:ascii="Times New Roman" w:hAnsi="Times New Roman" w:eastAsia="宋体"/>
          <w:b/>
          <w:color w:val="000000"/>
          <w:sz w:val="20"/>
        </w:rPr>
        <w:t>T_user-E2E = T_tokenize + T_admission/queue + T_model-request + T_detokenize/I-O</w:t>
      </w:r>
    </w:p>
    <w:p w14:paraId="2ED8F6D4">
      <w:pPr>
        <w:pStyle w:val="169"/>
        <w:shd w:val="clear" w:fill="F3F5F7"/>
        <w:jc w:val="center"/>
        <w:rPr>
          <w:rFonts w:ascii="Times New Roman" w:hAnsi="Times New Roman" w:eastAsia="宋体"/>
        </w:rPr>
      </w:pPr>
      <w:r>
        <w:rPr>
          <w:rFonts w:ascii="Times New Roman" w:hAnsi="Times New Roman" w:eastAsia="宋体"/>
          <w:b/>
          <w:color w:val="000000"/>
          <w:sz w:val="20"/>
        </w:rPr>
        <w:t>T_model-request = T_prefill + T_decode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7"/>
        <w:gridCol w:w="2181"/>
        <w:gridCol w:w="3858"/>
      </w:tblGrid>
      <w:tr w14:paraId="5DE78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30" w:type="dxa"/>
            <w:shd w:val="clear" w:color="auto" w:fill="DCE6F1"/>
            <w:tcMar>
              <w:top w:w="70" w:type="dxa"/>
              <w:left w:w="80" w:type="dxa"/>
              <w:bottom w:w="70" w:type="dxa"/>
              <w:right w:w="80" w:type="dxa"/>
            </w:tcMar>
            <w:vAlign w:val="center"/>
          </w:tcPr>
          <w:p w14:paraId="62746D19">
            <w:pPr>
              <w:ind w:firstLine="0"/>
              <w:jc w:val="center"/>
              <w:rPr>
                <w:rFonts w:ascii="Times New Roman" w:hAnsi="Times New Roman" w:eastAsia="宋体"/>
              </w:rPr>
            </w:pPr>
            <w:r>
              <w:rPr>
                <w:rFonts w:ascii="Times New Roman" w:hAnsi="Times New Roman" w:eastAsia="宋体"/>
                <w:b/>
                <w:color w:val="19375A"/>
                <w:sz w:val="17"/>
              </w:rPr>
              <w:t>阶段</w:t>
            </w:r>
          </w:p>
        </w:tc>
        <w:tc>
          <w:tcPr>
            <w:tcW w:w="3230" w:type="dxa"/>
            <w:shd w:val="clear" w:color="auto" w:fill="DCE6F1"/>
            <w:tcMar>
              <w:top w:w="70" w:type="dxa"/>
              <w:left w:w="80" w:type="dxa"/>
              <w:bottom w:w="70" w:type="dxa"/>
              <w:right w:w="80" w:type="dxa"/>
            </w:tcMar>
            <w:vAlign w:val="center"/>
          </w:tcPr>
          <w:p w14:paraId="445B274F">
            <w:pPr>
              <w:ind w:firstLine="0"/>
              <w:jc w:val="center"/>
              <w:rPr>
                <w:rFonts w:ascii="Times New Roman" w:hAnsi="Times New Roman" w:eastAsia="宋体"/>
              </w:rPr>
            </w:pPr>
            <w:r>
              <w:rPr>
                <w:rFonts w:ascii="Times New Roman" w:hAnsi="Times New Roman" w:eastAsia="宋体"/>
                <w:b/>
                <w:color w:val="19375A"/>
                <w:sz w:val="17"/>
              </w:rPr>
              <w:t>是否进入核心 A</w:t>
            </w:r>
          </w:p>
        </w:tc>
        <w:tc>
          <w:tcPr>
            <w:tcW w:w="3230" w:type="dxa"/>
            <w:shd w:val="clear" w:color="auto" w:fill="DCE6F1"/>
            <w:tcMar>
              <w:top w:w="70" w:type="dxa"/>
              <w:left w:w="80" w:type="dxa"/>
              <w:bottom w:w="70" w:type="dxa"/>
              <w:right w:w="80" w:type="dxa"/>
            </w:tcMar>
            <w:vAlign w:val="center"/>
          </w:tcPr>
          <w:p w14:paraId="0EE0FBC1">
            <w:pPr>
              <w:ind w:firstLine="0"/>
              <w:jc w:val="center"/>
              <w:rPr>
                <w:rFonts w:ascii="Times New Roman" w:hAnsi="Times New Roman" w:eastAsia="宋体"/>
              </w:rPr>
            </w:pPr>
            <w:r>
              <w:rPr>
                <w:rFonts w:ascii="Times New Roman" w:hAnsi="Times New Roman" w:eastAsia="宋体"/>
                <w:b/>
                <w:color w:val="19375A"/>
                <w:sz w:val="17"/>
              </w:rPr>
              <w:t>原因与报告方式</w:t>
            </w:r>
          </w:p>
        </w:tc>
      </w:tr>
      <w:tr w14:paraId="196F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CC0EC54">
            <w:pPr>
              <w:spacing w:after="0"/>
              <w:ind w:firstLine="0"/>
              <w:rPr>
                <w:rFonts w:ascii="Times New Roman" w:hAnsi="Times New Roman" w:eastAsia="宋体"/>
              </w:rPr>
            </w:pPr>
            <w:r>
              <w:rPr>
                <w:rFonts w:ascii="Times New Roman" w:hAnsi="Times New Roman" w:eastAsia="宋体"/>
                <w:sz w:val="17"/>
              </w:rPr>
              <w:t>Tokenization</w:t>
            </w:r>
          </w:p>
        </w:tc>
        <w:tc>
          <w:tcPr>
            <w:tcW w:w="2268" w:type="dxa"/>
            <w:tcMar>
              <w:top w:w="70" w:type="dxa"/>
              <w:left w:w="80" w:type="dxa"/>
              <w:bottom w:w="70" w:type="dxa"/>
              <w:right w:w="80" w:type="dxa"/>
            </w:tcMar>
            <w:vAlign w:val="center"/>
          </w:tcPr>
          <w:p w14:paraId="6C568122">
            <w:pPr>
              <w:spacing w:after="0"/>
              <w:ind w:firstLine="0"/>
              <w:rPr>
                <w:rFonts w:ascii="Times New Roman" w:hAnsi="Times New Roman" w:eastAsia="宋体"/>
              </w:rPr>
            </w:pPr>
            <w:r>
              <w:rPr>
                <w:rFonts w:ascii="Times New Roman" w:hAnsi="Times New Roman" w:eastAsia="宋体"/>
                <w:sz w:val="17"/>
              </w:rPr>
              <w:t>否，作为外层独立项</w:t>
            </w:r>
          </w:p>
        </w:tc>
        <w:tc>
          <w:tcPr>
            <w:tcW w:w="5669" w:type="dxa"/>
            <w:tcMar>
              <w:top w:w="70" w:type="dxa"/>
              <w:left w:w="80" w:type="dxa"/>
              <w:bottom w:w="70" w:type="dxa"/>
              <w:right w:w="80" w:type="dxa"/>
            </w:tcMar>
            <w:vAlign w:val="center"/>
          </w:tcPr>
          <w:p w14:paraId="37BD9B9B">
            <w:pPr>
              <w:spacing w:after="0"/>
              <w:ind w:firstLine="0"/>
              <w:rPr>
                <w:rFonts w:ascii="Times New Roman" w:hAnsi="Times New Roman" w:eastAsia="宋体"/>
              </w:rPr>
            </w:pPr>
            <w:r>
              <w:rPr>
                <w:rFonts w:ascii="Times New Roman" w:hAnsi="Times New Roman" w:eastAsia="宋体"/>
                <w:sz w:val="17"/>
              </w:rPr>
              <w:t>文本→token IDs，通常为 CPU 预处理；单独报告</w:t>
            </w:r>
          </w:p>
        </w:tc>
      </w:tr>
      <w:tr w14:paraId="4CE1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8FAFC"/>
            <w:tcMar>
              <w:top w:w="70" w:type="dxa"/>
              <w:left w:w="80" w:type="dxa"/>
              <w:bottom w:w="70" w:type="dxa"/>
              <w:right w:w="80" w:type="dxa"/>
            </w:tcMar>
            <w:vAlign w:val="center"/>
          </w:tcPr>
          <w:p w14:paraId="59303B7A">
            <w:pPr>
              <w:spacing w:after="0"/>
              <w:ind w:firstLine="0"/>
              <w:rPr>
                <w:rFonts w:ascii="Times New Roman" w:hAnsi="Times New Roman" w:eastAsia="宋体"/>
              </w:rPr>
            </w:pPr>
            <w:r>
              <w:rPr>
                <w:rFonts w:ascii="Times New Roman" w:hAnsi="Times New Roman" w:eastAsia="宋体"/>
                <w:sz w:val="17"/>
              </w:rPr>
              <w:t>Engine admission / queue</w:t>
            </w:r>
          </w:p>
        </w:tc>
        <w:tc>
          <w:tcPr>
            <w:tcW w:w="2268" w:type="dxa"/>
            <w:shd w:val="clear" w:color="auto" w:fill="F8FAFC"/>
            <w:tcMar>
              <w:top w:w="70" w:type="dxa"/>
              <w:left w:w="80" w:type="dxa"/>
              <w:bottom w:w="70" w:type="dxa"/>
              <w:right w:w="80" w:type="dxa"/>
            </w:tcMar>
            <w:vAlign w:val="center"/>
          </w:tcPr>
          <w:p w14:paraId="56B123FB">
            <w:pPr>
              <w:spacing w:after="0"/>
              <w:ind w:firstLine="0"/>
              <w:rPr>
                <w:rFonts w:ascii="Times New Roman" w:hAnsi="Times New Roman" w:eastAsia="宋体"/>
              </w:rPr>
            </w:pPr>
            <w:r>
              <w:rPr>
                <w:rFonts w:ascii="Times New Roman" w:hAnsi="Times New Roman" w:eastAsia="宋体"/>
                <w:sz w:val="17"/>
              </w:rPr>
              <w:t>否，作为外层独立项</w:t>
            </w:r>
          </w:p>
        </w:tc>
        <w:tc>
          <w:tcPr>
            <w:tcW w:w="5669" w:type="dxa"/>
            <w:shd w:val="clear" w:color="auto" w:fill="F8FAFC"/>
            <w:tcMar>
              <w:top w:w="70" w:type="dxa"/>
              <w:left w:w="80" w:type="dxa"/>
              <w:bottom w:w="70" w:type="dxa"/>
              <w:right w:w="80" w:type="dxa"/>
            </w:tcMar>
            <w:vAlign w:val="center"/>
          </w:tcPr>
          <w:p w14:paraId="47432276">
            <w:pPr>
              <w:spacing w:after="0"/>
              <w:ind w:firstLine="0"/>
              <w:rPr>
                <w:rFonts w:ascii="Times New Roman" w:hAnsi="Times New Roman" w:eastAsia="宋体"/>
              </w:rPr>
            </w:pPr>
            <w:r>
              <w:rPr>
                <w:rFonts w:ascii="Times New Roman" w:hAnsi="Times New Roman" w:eastAsia="宋体"/>
                <w:sz w:val="17"/>
              </w:rPr>
              <w:t>服务排队与 request scheduling；单请求研究可接近 0</w:t>
            </w:r>
          </w:p>
        </w:tc>
      </w:tr>
      <w:tr w14:paraId="7BC9B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DB148D0">
            <w:pPr>
              <w:spacing w:after="0"/>
              <w:ind w:firstLine="0"/>
              <w:rPr>
                <w:rFonts w:ascii="Times New Roman" w:hAnsi="Times New Roman" w:eastAsia="宋体"/>
              </w:rPr>
            </w:pPr>
            <w:r>
              <w:rPr>
                <w:rFonts w:ascii="Times New Roman" w:hAnsi="Times New Roman" w:eastAsia="宋体"/>
                <w:sz w:val="17"/>
              </w:rPr>
              <w:t>Embedding layer</w:t>
            </w:r>
          </w:p>
        </w:tc>
        <w:tc>
          <w:tcPr>
            <w:tcW w:w="2268" w:type="dxa"/>
            <w:tcMar>
              <w:top w:w="70" w:type="dxa"/>
              <w:left w:w="80" w:type="dxa"/>
              <w:bottom w:w="70" w:type="dxa"/>
              <w:right w:w="80" w:type="dxa"/>
            </w:tcMar>
            <w:vAlign w:val="center"/>
          </w:tcPr>
          <w:p w14:paraId="689BD602">
            <w:pPr>
              <w:spacing w:after="0"/>
              <w:ind w:firstLine="0"/>
              <w:rPr>
                <w:rFonts w:ascii="Times New Roman" w:hAnsi="Times New Roman" w:eastAsia="宋体"/>
              </w:rPr>
            </w:pPr>
            <w:r>
              <w:rPr>
                <w:rFonts w:ascii="Times New Roman" w:hAnsi="Times New Roman" w:eastAsia="宋体"/>
                <w:sz w:val="17"/>
              </w:rPr>
              <w:t>是，属于 prefill</w:t>
            </w:r>
          </w:p>
        </w:tc>
        <w:tc>
          <w:tcPr>
            <w:tcW w:w="5669" w:type="dxa"/>
            <w:tcMar>
              <w:top w:w="70" w:type="dxa"/>
              <w:left w:w="80" w:type="dxa"/>
              <w:bottom w:w="70" w:type="dxa"/>
              <w:right w:w="80" w:type="dxa"/>
            </w:tcMar>
            <w:vAlign w:val="center"/>
          </w:tcPr>
          <w:p w14:paraId="22DAE7F4">
            <w:pPr>
              <w:spacing w:after="0"/>
              <w:ind w:firstLine="0"/>
              <w:rPr>
                <w:rFonts w:ascii="Times New Roman" w:hAnsi="Times New Roman" w:eastAsia="宋体"/>
              </w:rPr>
            </w:pPr>
            <w:r>
              <w:rPr>
                <w:rFonts w:ascii="Times New Roman" w:hAnsi="Times New Roman" w:eastAsia="宋体"/>
                <w:sz w:val="17"/>
              </w:rPr>
              <w:t>模型 forward 的第一部分，通常由 GPU kernel 执行</w:t>
            </w:r>
          </w:p>
        </w:tc>
      </w:tr>
      <w:tr w14:paraId="0B271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8FAFC"/>
            <w:tcMar>
              <w:top w:w="70" w:type="dxa"/>
              <w:left w:w="80" w:type="dxa"/>
              <w:bottom w:w="70" w:type="dxa"/>
              <w:right w:w="80" w:type="dxa"/>
            </w:tcMar>
            <w:vAlign w:val="center"/>
          </w:tcPr>
          <w:p w14:paraId="0549211A">
            <w:pPr>
              <w:spacing w:after="0"/>
              <w:ind w:firstLine="0"/>
              <w:rPr>
                <w:rFonts w:ascii="Times New Roman" w:hAnsi="Times New Roman" w:eastAsia="宋体"/>
              </w:rPr>
            </w:pPr>
            <w:r>
              <w:rPr>
                <w:rFonts w:ascii="Times New Roman" w:hAnsi="Times New Roman" w:eastAsia="宋体"/>
                <w:sz w:val="17"/>
              </w:rPr>
              <w:t>Prefill</w:t>
            </w:r>
          </w:p>
        </w:tc>
        <w:tc>
          <w:tcPr>
            <w:tcW w:w="2268" w:type="dxa"/>
            <w:shd w:val="clear" w:color="auto" w:fill="F8FAFC"/>
            <w:tcMar>
              <w:top w:w="70" w:type="dxa"/>
              <w:left w:w="80" w:type="dxa"/>
              <w:bottom w:w="70" w:type="dxa"/>
              <w:right w:w="80" w:type="dxa"/>
            </w:tcMar>
            <w:vAlign w:val="center"/>
          </w:tcPr>
          <w:p w14:paraId="25097096">
            <w:pPr>
              <w:spacing w:after="0"/>
              <w:ind w:firstLine="0"/>
              <w:rPr>
                <w:rFonts w:ascii="Times New Roman" w:hAnsi="Times New Roman" w:eastAsia="宋体"/>
              </w:rPr>
            </w:pPr>
            <w:r>
              <w:rPr>
                <w:rFonts w:ascii="Times New Roman" w:hAnsi="Times New Roman" w:eastAsia="宋体"/>
                <w:sz w:val="17"/>
              </w:rPr>
              <w:t>是</w:t>
            </w:r>
          </w:p>
        </w:tc>
        <w:tc>
          <w:tcPr>
            <w:tcW w:w="5669" w:type="dxa"/>
            <w:shd w:val="clear" w:color="auto" w:fill="F8FAFC"/>
            <w:tcMar>
              <w:top w:w="70" w:type="dxa"/>
              <w:left w:w="80" w:type="dxa"/>
              <w:bottom w:w="70" w:type="dxa"/>
              <w:right w:w="80" w:type="dxa"/>
            </w:tcMar>
            <w:vAlign w:val="center"/>
          </w:tcPr>
          <w:p w14:paraId="5FE0DFF7">
            <w:pPr>
              <w:spacing w:after="0"/>
              <w:ind w:firstLine="0"/>
              <w:rPr>
                <w:rFonts w:ascii="Times New Roman" w:hAnsi="Times New Roman" w:eastAsia="宋体"/>
              </w:rPr>
            </w:pPr>
            <w:r>
              <w:rPr>
                <w:rFonts w:ascii="Times New Roman" w:hAnsi="Times New Roman" w:eastAsia="宋体"/>
                <w:sz w:val="17"/>
              </w:rPr>
              <w:t>包含 embedding、attention、MLP 和首 token 相关模型执行</w:t>
            </w:r>
          </w:p>
        </w:tc>
      </w:tr>
      <w:tr w14:paraId="6590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02F34B9">
            <w:pPr>
              <w:spacing w:after="0"/>
              <w:ind w:firstLine="0"/>
              <w:rPr>
                <w:rFonts w:ascii="Times New Roman" w:hAnsi="Times New Roman" w:eastAsia="宋体"/>
              </w:rPr>
            </w:pPr>
            <w:r>
              <w:rPr>
                <w:rFonts w:ascii="Times New Roman" w:hAnsi="Times New Roman" w:eastAsia="宋体"/>
                <w:sz w:val="17"/>
              </w:rPr>
              <w:t>Decode</w:t>
            </w:r>
          </w:p>
        </w:tc>
        <w:tc>
          <w:tcPr>
            <w:tcW w:w="2268" w:type="dxa"/>
            <w:tcMar>
              <w:top w:w="70" w:type="dxa"/>
              <w:left w:w="80" w:type="dxa"/>
              <w:bottom w:w="70" w:type="dxa"/>
              <w:right w:w="80" w:type="dxa"/>
            </w:tcMar>
            <w:vAlign w:val="center"/>
          </w:tcPr>
          <w:p w14:paraId="6DA68B12">
            <w:pPr>
              <w:spacing w:after="0"/>
              <w:ind w:firstLine="0"/>
              <w:rPr>
                <w:rFonts w:ascii="Times New Roman" w:hAnsi="Times New Roman" w:eastAsia="宋体"/>
              </w:rPr>
            </w:pPr>
            <w:r>
              <w:rPr>
                <w:rFonts w:ascii="Times New Roman" w:hAnsi="Times New Roman" w:eastAsia="宋体"/>
                <w:sz w:val="17"/>
              </w:rPr>
              <w:t>是</w:t>
            </w:r>
          </w:p>
        </w:tc>
        <w:tc>
          <w:tcPr>
            <w:tcW w:w="5669" w:type="dxa"/>
            <w:tcMar>
              <w:top w:w="70" w:type="dxa"/>
              <w:left w:w="80" w:type="dxa"/>
              <w:bottom w:w="70" w:type="dxa"/>
              <w:right w:w="80" w:type="dxa"/>
            </w:tcMar>
            <w:vAlign w:val="center"/>
          </w:tcPr>
          <w:p w14:paraId="1DE9CCCD">
            <w:pPr>
              <w:spacing w:after="0"/>
              <w:ind w:firstLine="0"/>
              <w:rPr>
                <w:rFonts w:ascii="Times New Roman" w:hAnsi="Times New Roman" w:eastAsia="宋体"/>
              </w:rPr>
            </w:pPr>
            <w:r>
              <w:rPr>
                <w:rFonts w:ascii="Times New Roman" w:hAnsi="Times New Roman" w:eastAsia="宋体"/>
                <w:sz w:val="17"/>
              </w:rPr>
              <w:t>逐 token forward、sampling/模型边界内 Host path</w:t>
            </w:r>
          </w:p>
        </w:tc>
      </w:tr>
      <w:tr w14:paraId="2318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8FAFC"/>
            <w:tcMar>
              <w:top w:w="70" w:type="dxa"/>
              <w:left w:w="80" w:type="dxa"/>
              <w:bottom w:w="70" w:type="dxa"/>
              <w:right w:w="80" w:type="dxa"/>
            </w:tcMar>
            <w:vAlign w:val="center"/>
          </w:tcPr>
          <w:p w14:paraId="43826521">
            <w:pPr>
              <w:spacing w:after="0"/>
              <w:ind w:firstLine="0"/>
              <w:rPr>
                <w:rFonts w:ascii="Times New Roman" w:hAnsi="Times New Roman" w:eastAsia="宋体"/>
              </w:rPr>
            </w:pPr>
            <w:r>
              <w:rPr>
                <w:rFonts w:ascii="Times New Roman" w:hAnsi="Times New Roman" w:eastAsia="宋体"/>
                <w:sz w:val="17"/>
              </w:rPr>
              <w:t>Detokenization / serialization</w:t>
            </w:r>
          </w:p>
        </w:tc>
        <w:tc>
          <w:tcPr>
            <w:tcW w:w="2268" w:type="dxa"/>
            <w:shd w:val="clear" w:color="auto" w:fill="F8FAFC"/>
            <w:tcMar>
              <w:top w:w="70" w:type="dxa"/>
              <w:left w:w="80" w:type="dxa"/>
              <w:bottom w:w="70" w:type="dxa"/>
              <w:right w:w="80" w:type="dxa"/>
            </w:tcMar>
            <w:vAlign w:val="center"/>
          </w:tcPr>
          <w:p w14:paraId="2D4B21B3">
            <w:pPr>
              <w:spacing w:after="0"/>
              <w:ind w:firstLine="0"/>
              <w:rPr>
                <w:rFonts w:ascii="Times New Roman" w:hAnsi="Times New Roman" w:eastAsia="宋体"/>
              </w:rPr>
            </w:pPr>
            <w:r>
              <w:rPr>
                <w:rFonts w:ascii="Times New Roman" w:hAnsi="Times New Roman" w:eastAsia="宋体"/>
                <w:sz w:val="17"/>
              </w:rPr>
              <w:t>否，外层独立项</w:t>
            </w:r>
          </w:p>
        </w:tc>
        <w:tc>
          <w:tcPr>
            <w:tcW w:w="5669" w:type="dxa"/>
            <w:shd w:val="clear" w:color="auto" w:fill="F8FAFC"/>
            <w:tcMar>
              <w:top w:w="70" w:type="dxa"/>
              <w:left w:w="80" w:type="dxa"/>
              <w:bottom w:w="70" w:type="dxa"/>
              <w:right w:w="80" w:type="dxa"/>
            </w:tcMar>
            <w:vAlign w:val="center"/>
          </w:tcPr>
          <w:p w14:paraId="014833B7">
            <w:pPr>
              <w:spacing w:after="0"/>
              <w:ind w:firstLine="0"/>
              <w:rPr>
                <w:rFonts w:ascii="Times New Roman" w:hAnsi="Times New Roman" w:eastAsia="宋体"/>
              </w:rPr>
            </w:pPr>
            <w:r>
              <w:rPr>
                <w:rFonts w:ascii="Times New Roman" w:hAnsi="Times New Roman" w:eastAsia="宋体"/>
                <w:sz w:val="17"/>
              </w:rPr>
              <w:t>token→文本及响应处理，不能与 GPU A 类混合</w:t>
            </w:r>
          </w:p>
        </w:tc>
      </w:tr>
    </w:tbl>
    <w:p w14:paraId="229D2093">
      <w:pPr>
        <w:spacing w:after="20"/>
        <w:rPr>
          <w:rFonts w:ascii="Times New Roman" w:hAnsi="Times New Roman" w:eastAsia="宋体"/>
        </w:rPr>
      </w:pPr>
    </w:p>
    <w:p w14:paraId="46A8A65F">
      <w:pPr>
        <w:rPr>
          <w:rFonts w:ascii="Times New Roman" w:hAnsi="Times New Roman" w:eastAsia="宋体"/>
          <w:highlight w:val="none"/>
        </w:rPr>
      </w:pPr>
      <w:r>
        <w:rPr>
          <w:rFonts w:ascii="Times New Roman" w:hAnsi="Times New Roman" w:eastAsia="宋体"/>
          <w:b w:val="0"/>
          <w:color w:val="000000"/>
        </w:rPr>
        <w:t>A/S/B 的核心 claim 只针对 T_model-request。流式推理中，为确认模型侧 Token 已就绪而发生的自然逐 Token 同步属于 Decode 完成边界；Token 就绪后的反分词、文本拼接、网络传输、前端显示和外部消费者处理不进入核心 A。tokenization、服务排队和外部 I/O 只能作为外层辅助项，不能归入 A_host_path。</w:t>
      </w:r>
    </w:p>
    <w:p w14:paraId="03D0F7A4">
      <w:pPr>
        <w:pStyle w:val="4"/>
        <w:rPr>
          <w:rFonts w:ascii="Times New Roman" w:hAnsi="Times New Roman" w:eastAsia="宋体"/>
          <w:highlight w:val="none"/>
        </w:rPr>
      </w:pPr>
      <w:r>
        <w:rPr>
          <w:rFonts w:ascii="Times New Roman" w:hAnsi="Times New Roman" w:eastAsia="宋体"/>
          <w:color w:val="000000"/>
        </w:rPr>
        <w:t>1.6 W/M/P/C 统一实验框架</w:t>
      </w:r>
    </w:p>
    <w:p w14:paraId="41F21BB7">
      <w:pPr>
        <w:pStyle w:val="169"/>
        <w:shd w:val="clear" w:fill="F3F5F7"/>
        <w:jc w:val="center"/>
        <w:rPr>
          <w:rFonts w:ascii="Times New Roman" w:hAnsi="Times New Roman" w:eastAsia="宋体"/>
          <w:highlight w:val="none"/>
        </w:rPr>
      </w:pPr>
      <w:r>
        <w:rPr>
          <w:rFonts w:ascii="Times New Roman" w:hAnsi="Times New Roman" w:eastAsia="宋体"/>
          <w:b/>
          <w:color w:val="000000"/>
          <w:sz w:val="20"/>
        </w:rPr>
        <w:t>Yφ = Fφ(W, M, P, C),　φ ∈ {prefill, decode, full_request}</w:t>
      </w:r>
    </w:p>
    <w:p w14:paraId="0AD67C4F">
      <w:pPr>
        <w:rPr>
          <w:rFonts w:ascii="Times New Roman" w:hAnsi="Times New Roman" w:eastAsia="宋体"/>
          <w:highlight w:val="none"/>
        </w:rPr>
      </w:pPr>
      <w:r>
        <w:rPr>
          <w:rFonts w:ascii="Times New Roman" w:hAnsi="Times New Roman" w:eastAsia="宋体"/>
          <w:color w:val="000000"/>
        </w:rPr>
        <w:t>W/M/P/C 是实验因素，而不是四套互不相容的指标。核心 W 包含 fixed_input_tokens、fixed_output_tokens 与 batch_size；当前不研究请求并发或 continuous batching，但保留纯模型流式推理中自然逐 Token 的 Token-ready completion boundary。所有 invocation 隔离执行。batch=1 可表述为单请求；batch&gt;1 的 E2E 与 A/B/D 对应整次 batched inference invocation，不分摊成单样本因果开销。</w:t>
      </w:r>
    </w:p>
    <w:p w14:paraId="71116C9C">
      <w:pPr>
        <w:pStyle w:val="5"/>
        <w:rPr>
          <w:rFonts w:ascii="Times New Roman" w:hAnsi="Times New Roman" w:eastAsia="宋体"/>
          <w:highlight w:val="none"/>
        </w:rPr>
      </w:pPr>
      <w:r>
        <w:rPr>
          <w:rFonts w:ascii="Times New Roman" w:hAnsi="Times New Roman" w:eastAsia="宋体"/>
          <w:color w:val="000000"/>
        </w:rPr>
        <w:t>1.6.1 计算栈基线与完整栈端点的高层边界</w:t>
      </w:r>
    </w:p>
    <w:p w14:paraId="088E7A42">
      <w:pPr>
        <w:rPr>
          <w:rFonts w:ascii="Times New Roman" w:hAnsi="Times New Roman" w:eastAsia="宋体"/>
          <w:highlight w:val="none"/>
        </w:rPr>
      </w:pPr>
      <w:r>
        <w:rPr>
          <w:rFonts w:ascii="Times New Roman" w:hAnsi="Times New Roman" w:eastAsia="宋体"/>
          <w:color w:val="000000"/>
        </w:rPr>
        <w:t>核心基线采用 PyTorch eager，是为了保留 Python/framework 控制、逐算子调度和原生 CUDA API 提交路径；这不等于关闭底层高性能库或融合算子。核心 C 轴只比较同模型、权重、精度、attention backend 与生成逻辑下的 eager 和一个经过 Pilot 证明稳定的 compile/graph 路径。</w:t>
      </w:r>
    </w:p>
    <w:p w14:paraId="0BB03508">
      <w:pPr>
        <w:rPr>
          <w:rFonts w:ascii="Times New Roman" w:hAnsi="Times New Roman" w:eastAsia="宋体"/>
          <w:highlight w:val="none"/>
        </w:rPr>
      </w:pPr>
      <w:r>
        <w:rPr>
          <w:rFonts w:ascii="Times New Roman" w:hAnsi="Times New Roman" w:eastAsia="宋体"/>
          <w:color w:val="000000"/>
        </w:rPr>
        <w:t>vLLM、llama.cpp 等完整推理引擎会同时改变调度、KV cache、算子后端、stream 与 graph 组织，只能作为后续完整 computing-stack endpoint，不能替代 G2 的同栈单变量干预。具体候选与删减规则见实验协议 v2.1；在 Q0、N1/G1、G2 主线完成前不启动这些扩展。</w:t>
      </w:r>
    </w:p>
    <w:p w14:paraId="5036EBDC">
      <w:pPr>
        <w:pStyle w:val="167"/>
        <w:rPr>
          <w:rFonts w:ascii="Times New Roman" w:hAnsi="Times New Roman" w:eastAsia="宋体"/>
          <w:highlight w:val="none"/>
        </w:rPr>
      </w:pPr>
      <w:r>
        <w:rPr>
          <w:rFonts w:ascii="Times New Roman" w:hAnsi="Times New Roman" w:eastAsia="宋体"/>
          <w:color w:val="000000"/>
        </w:rPr>
        <w:t>研究设计固定“同栈、单主干预、配置可审计、结果允许失败”的原则；具体 compile/graph 模式、capture 范围、warmup、repeat 与删除条件由 Pilot 形成证据后写入 Protocol Freeze，不能在 Pre-Pilot 阶段凭经验固定。</w:t>
      </w:r>
    </w:p>
    <w:p w14:paraId="28C65979">
      <w:pPr>
        <w:pStyle w:val="168"/>
        <w:rPr>
          <w:rFonts w:ascii="Times New Roman" w:hAnsi="Times New Roman" w:eastAsia="宋体"/>
          <w:highlight w:val="none"/>
        </w:rPr>
      </w:pPr>
      <w:r>
        <w:rPr>
          <w:rFonts w:ascii="Times New Roman" w:hAnsi="Times New Roman" w:eastAsia="宋体"/>
          <w:color w:val="000000"/>
        </w:rPr>
        <w:t>若稳定的同栈干预不可获得，行动性 claim 应降级，而不能临时以跨栈 endpoint 冒充单变量优化实验。</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1061"/>
        <w:gridCol w:w="3739"/>
        <w:gridCol w:w="2977"/>
      </w:tblGrid>
      <w:tr w14:paraId="39D42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45" w:type="dxa"/>
            <w:shd w:val="clear" w:color="auto" w:fill="DCE6F1"/>
            <w:tcMar>
              <w:top w:w="70" w:type="dxa"/>
              <w:left w:w="80" w:type="dxa"/>
              <w:bottom w:w="70" w:type="dxa"/>
              <w:right w:w="80" w:type="dxa"/>
            </w:tcMar>
            <w:vAlign w:val="center"/>
          </w:tcPr>
          <w:p w14:paraId="311934BF">
            <w:pPr>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因素</w:t>
            </w:r>
          </w:p>
        </w:tc>
        <w:tc>
          <w:tcPr>
            <w:tcW w:w="0" w:type="auto"/>
            <w:shd w:val="clear" w:color="auto" w:fill="DCE6F1"/>
            <w:tcMar>
              <w:top w:w="70" w:type="dxa"/>
              <w:left w:w="80" w:type="dxa"/>
              <w:bottom w:w="70" w:type="dxa"/>
              <w:right w:w="80" w:type="dxa"/>
            </w:tcMar>
            <w:vAlign w:val="center"/>
          </w:tcPr>
          <w:p w14:paraId="6AB4D846">
            <w:pPr>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正式含义</w:t>
            </w:r>
          </w:p>
        </w:tc>
        <w:tc>
          <w:tcPr>
            <w:tcW w:w="3739" w:type="dxa"/>
            <w:shd w:val="clear" w:color="auto" w:fill="DCE6F1"/>
            <w:tcMar>
              <w:top w:w="70" w:type="dxa"/>
              <w:left w:w="80" w:type="dxa"/>
              <w:bottom w:w="70" w:type="dxa"/>
              <w:right w:w="80" w:type="dxa"/>
            </w:tcMar>
            <w:vAlign w:val="center"/>
          </w:tcPr>
          <w:p w14:paraId="3A5E7D45">
            <w:pPr>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主变量</w:t>
            </w:r>
          </w:p>
        </w:tc>
        <w:tc>
          <w:tcPr>
            <w:tcW w:w="2977" w:type="dxa"/>
            <w:shd w:val="clear" w:color="auto" w:fill="DCE6F1"/>
            <w:tcMar>
              <w:top w:w="70" w:type="dxa"/>
              <w:left w:w="80" w:type="dxa"/>
              <w:bottom w:w="70" w:type="dxa"/>
              <w:right w:w="80" w:type="dxa"/>
            </w:tcMar>
            <w:vAlign w:val="center"/>
          </w:tcPr>
          <w:p w14:paraId="7355A7C7">
            <w:pPr>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专属解释指标</w:t>
            </w:r>
          </w:p>
        </w:tc>
      </w:tr>
      <w:tr w14:paraId="79690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5" w:type="dxa"/>
            <w:shd w:val="clear" w:color="auto" w:fill="FFF2CC"/>
            <w:tcMar>
              <w:top w:w="70" w:type="dxa"/>
              <w:left w:w="80" w:type="dxa"/>
              <w:bottom w:w="70" w:type="dxa"/>
              <w:right w:w="80" w:type="dxa"/>
            </w:tcMar>
            <w:vAlign w:val="center"/>
          </w:tcPr>
          <w:p w14:paraId="54280832">
            <w:pPr>
              <w:snapToGrid w:val="0"/>
              <w:spacing w:after="0" w:line="240" w:lineRule="auto"/>
              <w:ind w:left="0" w:leftChars="0" w:right="0" w:rightChars="0" w:firstLine="0" w:firstLineChars="0"/>
              <w:jc w:val="center"/>
              <w:rPr>
                <w:rFonts w:ascii="Times New Roman" w:hAnsi="Times New Roman" w:eastAsia="宋体"/>
                <w:sz w:val="20"/>
                <w:highlight w:val="none"/>
              </w:rPr>
            </w:pPr>
            <w:r>
              <w:rPr>
                <w:rFonts w:ascii="Times New Roman" w:hAnsi="Times New Roman" w:eastAsia="宋体"/>
                <w:sz w:val="20"/>
              </w:rPr>
              <w:t>W</w:t>
            </w:r>
          </w:p>
        </w:tc>
        <w:tc>
          <w:tcPr>
            <w:tcW w:w="0" w:type="auto"/>
            <w:shd w:val="clear" w:color="auto" w:fill="FFF2CC"/>
            <w:tcMar>
              <w:top w:w="70" w:type="dxa"/>
              <w:left w:w="80" w:type="dxa"/>
              <w:bottom w:w="70" w:type="dxa"/>
              <w:right w:w="80" w:type="dxa"/>
            </w:tcMar>
            <w:vAlign w:val="center"/>
          </w:tcPr>
          <w:p w14:paraId="6FDCD5C4">
            <w:pPr>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Workload</w:t>
            </w:r>
          </w:p>
        </w:tc>
        <w:tc>
          <w:tcPr>
            <w:tcW w:w="3739" w:type="dxa"/>
            <w:shd w:val="clear" w:color="auto" w:fill="FFF2CC"/>
            <w:tcMar>
              <w:top w:w="70" w:type="dxa"/>
              <w:left w:w="80" w:type="dxa"/>
              <w:bottom w:w="70" w:type="dxa"/>
              <w:right w:w="80" w:type="dxa"/>
            </w:tcMar>
            <w:vAlign w:val="center"/>
          </w:tcPr>
          <w:p w14:paraId="3ACA3A98">
            <w:pPr>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prompt、batch、output</w:t>
            </w:r>
          </w:p>
        </w:tc>
        <w:tc>
          <w:tcPr>
            <w:tcW w:w="2977" w:type="dxa"/>
            <w:shd w:val="clear" w:color="auto" w:fill="FFF2CC"/>
            <w:tcMar>
              <w:top w:w="70" w:type="dxa"/>
              <w:left w:w="80" w:type="dxa"/>
              <w:bottom w:w="70" w:type="dxa"/>
              <w:right w:w="80" w:type="dxa"/>
            </w:tcMar>
            <w:vAlign w:val="center"/>
          </w:tcPr>
          <w:p w14:paraId="517693A0">
            <w:pPr>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b w:val="0"/>
                <w:sz w:val="20"/>
              </w:rPr>
              <w:t>每 token API/kernel/sync、规模交互、D 条件化趋势与二维无插值热图</w:t>
            </w:r>
          </w:p>
        </w:tc>
      </w:tr>
      <w:tr w14:paraId="4FCB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5" w:type="dxa"/>
            <w:shd w:val="clear" w:color="auto" w:fill="F8FAFC"/>
            <w:tcMar>
              <w:top w:w="70" w:type="dxa"/>
              <w:left w:w="80" w:type="dxa"/>
              <w:bottom w:w="70" w:type="dxa"/>
              <w:right w:w="80" w:type="dxa"/>
            </w:tcMar>
            <w:vAlign w:val="center"/>
          </w:tcPr>
          <w:p w14:paraId="03E17F98">
            <w:pPr>
              <w:snapToGrid w:val="0"/>
              <w:spacing w:after="0" w:line="240" w:lineRule="auto"/>
              <w:ind w:left="0" w:leftChars="0" w:right="0" w:rightChars="0" w:firstLine="0" w:firstLineChars="0"/>
              <w:jc w:val="center"/>
              <w:rPr>
                <w:rFonts w:ascii="Times New Roman" w:hAnsi="Times New Roman" w:eastAsia="宋体"/>
                <w:sz w:val="20"/>
              </w:rPr>
            </w:pPr>
            <w:r>
              <w:rPr>
                <w:rFonts w:ascii="Times New Roman" w:hAnsi="Times New Roman" w:eastAsia="宋体"/>
                <w:sz w:val="20"/>
              </w:rPr>
              <w:t>M</w:t>
            </w:r>
          </w:p>
        </w:tc>
        <w:tc>
          <w:tcPr>
            <w:tcW w:w="0" w:type="auto"/>
            <w:shd w:val="clear" w:color="auto" w:fill="F8FAFC"/>
            <w:tcMar>
              <w:top w:w="70" w:type="dxa"/>
              <w:left w:w="80" w:type="dxa"/>
              <w:bottom w:w="70" w:type="dxa"/>
              <w:right w:w="80" w:type="dxa"/>
            </w:tcMar>
            <w:vAlign w:val="center"/>
          </w:tcPr>
          <w:p w14:paraId="50A7478C">
            <w:pPr>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Model</w:t>
            </w:r>
          </w:p>
        </w:tc>
        <w:tc>
          <w:tcPr>
            <w:tcW w:w="3739" w:type="dxa"/>
            <w:shd w:val="clear" w:color="auto" w:fill="F8FAFC"/>
            <w:tcMar>
              <w:top w:w="70" w:type="dxa"/>
              <w:left w:w="80" w:type="dxa"/>
              <w:bottom w:w="70" w:type="dxa"/>
              <w:right w:w="80" w:type="dxa"/>
            </w:tcMar>
            <w:vAlign w:val="center"/>
          </w:tcPr>
          <w:p w14:paraId="133EAC45">
            <w:pPr>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同家族规模、可选跨架构</w:t>
            </w:r>
          </w:p>
        </w:tc>
        <w:tc>
          <w:tcPr>
            <w:tcW w:w="2977" w:type="dxa"/>
            <w:shd w:val="clear" w:color="auto" w:fill="F8FAFC"/>
            <w:tcMar>
              <w:top w:w="70" w:type="dxa"/>
              <w:left w:w="80" w:type="dxa"/>
              <w:bottom w:w="70" w:type="dxa"/>
              <w:right w:w="80" w:type="dxa"/>
            </w:tcMar>
            <w:vAlign w:val="center"/>
          </w:tcPr>
          <w:p w14:paraId="6C56D91C">
            <w:pPr>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参数、层数、hidden、operator/kernel mix</w:t>
            </w:r>
          </w:p>
        </w:tc>
      </w:tr>
      <w:tr w14:paraId="73EB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5" w:type="dxa"/>
            <w:tcMar>
              <w:top w:w="70" w:type="dxa"/>
              <w:left w:w="80" w:type="dxa"/>
              <w:bottom w:w="70" w:type="dxa"/>
              <w:right w:w="80" w:type="dxa"/>
            </w:tcMar>
            <w:vAlign w:val="center"/>
          </w:tcPr>
          <w:p w14:paraId="6FD68EFA">
            <w:pPr>
              <w:snapToGrid w:val="0"/>
              <w:spacing w:after="0" w:line="240" w:lineRule="auto"/>
              <w:ind w:left="0" w:leftChars="0" w:right="0" w:rightChars="0" w:firstLine="0" w:firstLineChars="0"/>
              <w:jc w:val="center"/>
              <w:rPr>
                <w:rFonts w:ascii="Times New Roman" w:hAnsi="Times New Roman" w:eastAsia="宋体"/>
                <w:sz w:val="20"/>
              </w:rPr>
            </w:pPr>
            <w:r>
              <w:rPr>
                <w:rFonts w:ascii="Times New Roman" w:hAnsi="Times New Roman" w:eastAsia="宋体"/>
                <w:sz w:val="20"/>
              </w:rPr>
              <w:t>P</w:t>
            </w:r>
          </w:p>
        </w:tc>
        <w:tc>
          <w:tcPr>
            <w:tcW w:w="0" w:type="auto"/>
            <w:tcMar>
              <w:top w:w="70" w:type="dxa"/>
              <w:left w:w="80" w:type="dxa"/>
              <w:bottom w:w="70" w:type="dxa"/>
              <w:right w:w="80" w:type="dxa"/>
            </w:tcMar>
            <w:vAlign w:val="center"/>
          </w:tcPr>
          <w:p w14:paraId="1988F0B3">
            <w:pPr>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完整 Platform</w:t>
            </w:r>
          </w:p>
        </w:tc>
        <w:tc>
          <w:tcPr>
            <w:tcW w:w="3739" w:type="dxa"/>
            <w:tcMar>
              <w:top w:w="70" w:type="dxa"/>
              <w:left w:w="80" w:type="dxa"/>
              <w:bottom w:w="70" w:type="dxa"/>
              <w:right w:w="80" w:type="dxa"/>
            </w:tcMar>
            <w:vAlign w:val="center"/>
          </w:tcPr>
          <w:p w14:paraId="61087F85">
            <w:pPr>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CPU、GPU、内存、PCIe/NUMA、固定 power limit</w:t>
            </w:r>
          </w:p>
        </w:tc>
        <w:tc>
          <w:tcPr>
            <w:tcW w:w="2977" w:type="dxa"/>
            <w:tcMar>
              <w:top w:w="70" w:type="dxa"/>
              <w:left w:w="80" w:type="dxa"/>
              <w:bottom w:w="70" w:type="dxa"/>
              <w:right w:w="80" w:type="dxa"/>
            </w:tcMar>
            <w:vAlign w:val="center"/>
          </w:tcPr>
          <w:p w14:paraId="05EBDF76">
            <w:pPr>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platform snapshot、Host 能力、GPU clock/power/temp</w:t>
            </w:r>
          </w:p>
        </w:tc>
      </w:tr>
      <w:tr w14:paraId="01A2E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5" w:type="dxa"/>
            <w:shd w:val="clear" w:color="auto" w:fill="F8FAFC"/>
            <w:tcMar>
              <w:top w:w="70" w:type="dxa"/>
              <w:left w:w="80" w:type="dxa"/>
              <w:bottom w:w="70" w:type="dxa"/>
              <w:right w:w="80" w:type="dxa"/>
            </w:tcMar>
            <w:vAlign w:val="center"/>
          </w:tcPr>
          <w:p w14:paraId="6AC27595">
            <w:pPr>
              <w:snapToGrid w:val="0"/>
              <w:spacing w:after="0" w:line="240" w:lineRule="auto"/>
              <w:ind w:left="0" w:leftChars="0" w:right="0" w:rightChars="0" w:firstLine="0" w:firstLineChars="0"/>
              <w:jc w:val="center"/>
              <w:rPr>
                <w:rFonts w:ascii="Times New Roman" w:hAnsi="Times New Roman" w:eastAsia="宋体"/>
                <w:sz w:val="20"/>
                <w:highlight w:val="none"/>
              </w:rPr>
            </w:pPr>
            <w:r>
              <w:rPr>
                <w:rFonts w:ascii="Times New Roman" w:hAnsi="Times New Roman" w:eastAsia="宋体"/>
                <w:sz w:val="20"/>
              </w:rPr>
              <w:t>C</w:t>
            </w:r>
          </w:p>
        </w:tc>
        <w:tc>
          <w:tcPr>
            <w:tcW w:w="1061" w:type="dxa"/>
            <w:shd w:val="clear" w:color="auto" w:fill="F8FAFC"/>
            <w:tcMar>
              <w:top w:w="70" w:type="dxa"/>
              <w:left w:w="80" w:type="dxa"/>
              <w:bottom w:w="70" w:type="dxa"/>
              <w:right w:w="80" w:type="dxa"/>
            </w:tcMar>
            <w:vAlign w:val="center"/>
          </w:tcPr>
          <w:p w14:paraId="4FAAD6CD">
            <w:pPr>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Computing stack</w:t>
            </w:r>
          </w:p>
        </w:tc>
        <w:tc>
          <w:tcPr>
            <w:tcW w:w="3739" w:type="dxa"/>
            <w:shd w:val="clear" w:color="auto" w:fill="F8FAFC"/>
            <w:tcMar>
              <w:top w:w="70" w:type="dxa"/>
              <w:left w:w="80" w:type="dxa"/>
              <w:bottom w:w="70" w:type="dxa"/>
              <w:right w:w="80" w:type="dxa"/>
            </w:tcMar>
            <w:vAlign w:val="center"/>
          </w:tcPr>
          <w:p w14:paraId="41926511">
            <w:pPr>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b w:val="0"/>
                <w:sz w:val="20"/>
              </w:rPr>
              <w:t>driver/CUDA/PyTorch 版本、framework-native eager/compile/graph、attention backend；vLLM 等完整栈仅作可选 endpoint</w:t>
            </w:r>
          </w:p>
        </w:tc>
        <w:tc>
          <w:tcPr>
            <w:tcW w:w="2977" w:type="dxa"/>
            <w:shd w:val="clear" w:color="auto" w:fill="F8FAFC"/>
            <w:tcMar>
              <w:top w:w="70" w:type="dxa"/>
              <w:left w:w="80" w:type="dxa"/>
              <w:bottom w:w="70" w:type="dxa"/>
              <w:right w:w="80" w:type="dxa"/>
            </w:tcMar>
            <w:vAlign w:val="center"/>
          </w:tcPr>
          <w:p w14:paraId="44EDA9C8">
            <w:pPr>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b w:val="0"/>
                <w:sz w:val="20"/>
              </w:rPr>
              <w:t>graph breaks/capture coverage、API/kernel 数变化、编译与 capture 边界、输出一致性</w:t>
            </w:r>
          </w:p>
        </w:tc>
      </w:tr>
    </w:tbl>
    <w:p w14:paraId="221A7B27">
      <w:pPr>
        <w:spacing w:after="20"/>
        <w:rPr>
          <w:rFonts w:ascii="Times New Roman" w:hAnsi="Times New Roman" w:eastAsia="宋体"/>
        </w:rPr>
      </w:pPr>
    </w:p>
    <w:p w14:paraId="1990BB19">
      <w:pPr>
        <w:pStyle w:val="4"/>
        <w:rPr>
          <w:rFonts w:ascii="Times New Roman" w:hAnsi="Times New Roman" w:eastAsia="宋体"/>
        </w:rPr>
      </w:pPr>
      <w:r>
        <w:rPr>
          <w:rFonts w:ascii="Times New Roman" w:hAnsi="Times New Roman" w:eastAsia="宋体"/>
          <w:color w:val="000000"/>
        </w:rPr>
        <w:t>1.7 平台扩展与 CPU 混杂</w:t>
      </w:r>
    </w:p>
    <w:p w14:paraId="616E5749">
      <w:pPr>
        <w:rPr>
          <w:rFonts w:ascii="Times New Roman" w:hAnsi="Times New Roman" w:eastAsia="宋体"/>
          <w:highlight w:val="none"/>
        </w:rPr>
      </w:pPr>
      <w:r>
        <w:rPr>
          <w:rFonts w:ascii="Times New Roman" w:hAnsi="Times New Roman" w:eastAsia="宋体"/>
          <w:color w:val="000000"/>
        </w:rPr>
        <w:t>平台轴首先使用同一主机上的双 GPU 配对，以降低 CPU、内存和软件环境混杂；外部平台用于检验完整系统端点的外部有效性，而不是把全部差异归因于单独 GPU。</w:t>
      </w:r>
    </w:p>
    <w:p w14:paraId="4A3C44FA">
      <w:pPr>
        <w:pStyle w:val="167"/>
        <w:rPr>
          <w:rFonts w:ascii="Times New Roman" w:hAnsi="Times New Roman" w:eastAsia="宋体"/>
          <w:highlight w:val="none"/>
        </w:rPr>
      </w:pPr>
      <w:r>
        <w:rPr>
          <w:rFonts w:ascii="Times New Roman" w:hAnsi="Times New Roman" w:eastAsia="宋体"/>
          <w:color w:val="000000"/>
        </w:rPr>
        <w:t>平台证据必须同时记录 CPU、内存、PCIe/NUMA、功耗、时钟和软件栈。具体设备、platform_snapshot、绑定策略和正式适用范围由实验协议冻结。</w:t>
      </w:r>
    </w:p>
    <w:p w14:paraId="64194E35">
      <w:pPr>
        <w:pStyle w:val="167"/>
        <w:rPr>
          <w:rFonts w:ascii="Times New Roman" w:hAnsi="Times New Roman" w:eastAsia="宋体"/>
          <w:highlight w:val="none"/>
        </w:rPr>
      </w:pPr>
      <w:r>
        <w:rPr>
          <w:rFonts w:ascii="Times New Roman" w:hAnsi="Times New Roman" w:eastAsia="宋体"/>
          <w:color w:val="000000"/>
        </w:rPr>
        <w:t>跨主机比较一律表述为完整 Platform 效应；同主机配对也只能在控制 CPU/NUMA/功耗后讨论 GPU 条件化差异。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1"/>
        <w:gridCol w:w="1768"/>
        <w:gridCol w:w="2497"/>
        <w:gridCol w:w="2370"/>
      </w:tblGrid>
      <w:tr w14:paraId="1132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22" w:type="dxa"/>
            <w:shd w:val="clear" w:color="auto" w:fill="DCE6F1"/>
            <w:tcMar>
              <w:top w:w="70" w:type="dxa"/>
              <w:left w:w="80" w:type="dxa"/>
              <w:bottom w:w="70" w:type="dxa"/>
              <w:right w:w="80" w:type="dxa"/>
            </w:tcMar>
            <w:vAlign w:val="center"/>
          </w:tcPr>
          <w:p w14:paraId="3FD45862">
            <w:pPr>
              <w:ind w:firstLine="0"/>
              <w:jc w:val="center"/>
              <w:rPr>
                <w:rFonts w:ascii="Times New Roman" w:hAnsi="Times New Roman" w:eastAsia="宋体"/>
                <w:highlight w:val="none"/>
              </w:rPr>
            </w:pPr>
            <w:r>
              <w:rPr>
                <w:rFonts w:ascii="Times New Roman" w:hAnsi="Times New Roman" w:eastAsia="宋体"/>
              </w:rPr>
              <w:t>平台层次</w:t>
            </w:r>
          </w:p>
        </w:tc>
        <w:tc>
          <w:tcPr>
            <w:tcW w:w="2422" w:type="dxa"/>
            <w:shd w:val="clear" w:color="auto" w:fill="DCE6F1"/>
            <w:tcMar>
              <w:top w:w="70" w:type="dxa"/>
              <w:left w:w="80" w:type="dxa"/>
              <w:bottom w:w="70" w:type="dxa"/>
              <w:right w:w="80" w:type="dxa"/>
            </w:tcMar>
            <w:vAlign w:val="center"/>
          </w:tcPr>
          <w:p w14:paraId="44EF52AE">
            <w:pPr>
              <w:ind w:firstLine="0"/>
              <w:jc w:val="center"/>
              <w:rPr>
                <w:rFonts w:ascii="Times New Roman" w:hAnsi="Times New Roman" w:eastAsia="宋体"/>
                <w:highlight w:val="none"/>
              </w:rPr>
            </w:pPr>
            <w:r>
              <w:rPr>
                <w:rFonts w:ascii="Times New Roman" w:hAnsi="Times New Roman" w:eastAsia="宋体"/>
              </w:rPr>
              <w:t>研究用途</w:t>
            </w:r>
          </w:p>
        </w:tc>
        <w:tc>
          <w:tcPr>
            <w:tcW w:w="2422" w:type="dxa"/>
            <w:shd w:val="clear" w:color="auto" w:fill="DCE6F1"/>
            <w:tcMar>
              <w:top w:w="70" w:type="dxa"/>
              <w:left w:w="80" w:type="dxa"/>
              <w:bottom w:w="70" w:type="dxa"/>
              <w:right w:w="80" w:type="dxa"/>
            </w:tcMar>
            <w:vAlign w:val="center"/>
          </w:tcPr>
          <w:p w14:paraId="55EC4413">
            <w:pPr>
              <w:ind w:firstLine="0"/>
              <w:jc w:val="center"/>
              <w:rPr>
                <w:rFonts w:ascii="Times New Roman" w:hAnsi="Times New Roman" w:eastAsia="宋体"/>
                <w:highlight w:val="none"/>
              </w:rPr>
            </w:pPr>
            <w:r>
              <w:rPr>
                <w:rFonts w:ascii="Times New Roman" w:hAnsi="Times New Roman" w:eastAsia="宋体"/>
              </w:rPr>
              <w:t>因果解释边界</w:t>
            </w:r>
          </w:p>
        </w:tc>
        <w:tc>
          <w:tcPr>
            <w:tcW w:w="2422" w:type="dxa"/>
            <w:shd w:val="clear" w:color="auto" w:fill="DCE6F1"/>
            <w:tcMar>
              <w:top w:w="70" w:type="dxa"/>
              <w:left w:w="80" w:type="dxa"/>
              <w:bottom w:w="70" w:type="dxa"/>
              <w:right w:w="80" w:type="dxa"/>
            </w:tcMar>
            <w:vAlign w:val="center"/>
          </w:tcPr>
          <w:p w14:paraId="73C5775C">
            <w:pPr>
              <w:ind w:firstLine="0"/>
              <w:jc w:val="center"/>
              <w:rPr>
                <w:rFonts w:ascii="Times New Roman" w:hAnsi="Times New Roman" w:eastAsia="宋体"/>
                <w:highlight w:val="none"/>
              </w:rPr>
            </w:pPr>
            <w:r>
              <w:rPr>
                <w:rFonts w:ascii="Times New Roman" w:hAnsi="Times New Roman" w:eastAsia="宋体"/>
              </w:rPr>
              <w:t>精确配置来源</w:t>
            </w:r>
          </w:p>
        </w:tc>
      </w:tr>
      <w:tr w14:paraId="621C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A8796F2">
            <w:pPr>
              <w:spacing w:after="0"/>
              <w:ind w:firstLine="0"/>
              <w:rPr>
                <w:rFonts w:ascii="Times New Roman" w:hAnsi="Times New Roman" w:eastAsia="宋体"/>
                <w:highlight w:val="none"/>
              </w:rPr>
            </w:pPr>
            <w:r>
              <w:rPr>
                <w:rFonts w:ascii="Times New Roman" w:hAnsi="Times New Roman" w:eastAsia="宋体"/>
              </w:rPr>
              <w:t>同主机双 GPU 配对</w:t>
            </w:r>
          </w:p>
        </w:tc>
        <w:tc>
          <w:tcPr>
            <w:tcW w:w="1814" w:type="dxa"/>
            <w:tcMar>
              <w:top w:w="70" w:type="dxa"/>
              <w:left w:w="80" w:type="dxa"/>
              <w:bottom w:w="70" w:type="dxa"/>
              <w:right w:w="80" w:type="dxa"/>
            </w:tcMar>
            <w:vAlign w:val="center"/>
          </w:tcPr>
          <w:p w14:paraId="3F077634">
            <w:pPr>
              <w:spacing w:after="0"/>
              <w:ind w:firstLine="0"/>
              <w:rPr>
                <w:rFonts w:ascii="Times New Roman" w:hAnsi="Times New Roman" w:eastAsia="宋体"/>
                <w:highlight w:val="none"/>
              </w:rPr>
            </w:pPr>
            <w:r>
              <w:rPr>
                <w:rFonts w:ascii="Times New Roman" w:hAnsi="Times New Roman" w:eastAsia="宋体"/>
              </w:rPr>
              <w:t>核心平台条件化比较</w:t>
            </w:r>
          </w:p>
        </w:tc>
        <w:tc>
          <w:tcPr>
            <w:tcW w:w="3061" w:type="dxa"/>
            <w:tcMar>
              <w:top w:w="70" w:type="dxa"/>
              <w:left w:w="80" w:type="dxa"/>
              <w:bottom w:w="70" w:type="dxa"/>
              <w:right w:w="80" w:type="dxa"/>
            </w:tcMar>
            <w:vAlign w:val="center"/>
          </w:tcPr>
          <w:p w14:paraId="3D80F44E">
            <w:pPr>
              <w:spacing w:after="0"/>
              <w:ind w:firstLine="0"/>
              <w:rPr>
                <w:rFonts w:ascii="Times New Roman" w:hAnsi="Times New Roman" w:eastAsia="宋体"/>
                <w:highlight w:val="none"/>
              </w:rPr>
            </w:pPr>
            <w:r>
              <w:rPr>
                <w:rFonts w:ascii="Times New Roman" w:hAnsi="Times New Roman" w:eastAsia="宋体"/>
              </w:rPr>
              <w:t>控制主机后讨论 GPU/板卡相关差异，仍报告 PCIe/NUMA/功耗</w:t>
            </w:r>
          </w:p>
        </w:tc>
        <w:tc>
          <w:tcPr>
            <w:tcW w:w="3175" w:type="dxa"/>
            <w:tcMar>
              <w:top w:w="70" w:type="dxa"/>
              <w:left w:w="80" w:type="dxa"/>
              <w:bottom w:w="70" w:type="dxa"/>
              <w:right w:w="80" w:type="dxa"/>
            </w:tcMar>
            <w:vAlign w:val="center"/>
          </w:tcPr>
          <w:p w14:paraId="65D51BAA">
            <w:pPr>
              <w:spacing w:after="0"/>
              <w:ind w:firstLine="0"/>
              <w:rPr>
                <w:rFonts w:ascii="Times New Roman" w:hAnsi="Times New Roman" w:eastAsia="宋体"/>
                <w:highlight w:val="none"/>
              </w:rPr>
            </w:pPr>
            <w:r>
              <w:rPr>
                <w:rFonts w:ascii="Times New Roman" w:hAnsi="Times New Roman" w:eastAsia="宋体"/>
              </w:rPr>
              <w:t>实验协议 v2.1 的 P0/P1</w:t>
            </w:r>
          </w:p>
        </w:tc>
      </w:tr>
      <w:tr w14:paraId="143C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8FAFC"/>
            <w:tcMar>
              <w:top w:w="70" w:type="dxa"/>
              <w:left w:w="80" w:type="dxa"/>
              <w:bottom w:w="70" w:type="dxa"/>
              <w:right w:w="80" w:type="dxa"/>
            </w:tcMar>
            <w:vAlign w:val="center"/>
          </w:tcPr>
          <w:p w14:paraId="3A3CC8C8">
            <w:pPr>
              <w:spacing w:after="0"/>
              <w:ind w:firstLine="0"/>
              <w:rPr>
                <w:rFonts w:ascii="Times New Roman" w:hAnsi="Times New Roman" w:eastAsia="宋体"/>
                <w:highlight w:val="none"/>
              </w:rPr>
            </w:pPr>
            <w:r>
              <w:rPr>
                <w:rFonts w:ascii="Times New Roman" w:hAnsi="Times New Roman" w:eastAsia="宋体"/>
              </w:rPr>
              <w:t>外部离散平台</w:t>
            </w:r>
          </w:p>
        </w:tc>
        <w:tc>
          <w:tcPr>
            <w:tcW w:w="1814" w:type="dxa"/>
            <w:shd w:val="clear" w:color="auto" w:fill="F8FAFC"/>
            <w:tcMar>
              <w:top w:w="70" w:type="dxa"/>
              <w:left w:w="80" w:type="dxa"/>
              <w:bottom w:w="70" w:type="dxa"/>
              <w:right w:w="80" w:type="dxa"/>
            </w:tcMar>
            <w:vAlign w:val="center"/>
          </w:tcPr>
          <w:p w14:paraId="482228C1">
            <w:pPr>
              <w:spacing w:after="0"/>
              <w:ind w:firstLine="0"/>
              <w:rPr>
                <w:rFonts w:ascii="Times New Roman" w:hAnsi="Times New Roman" w:eastAsia="宋体"/>
                <w:highlight w:val="none"/>
              </w:rPr>
            </w:pPr>
            <w:r>
              <w:rPr>
                <w:rFonts w:ascii="Times New Roman" w:hAnsi="Times New Roman" w:eastAsia="宋体"/>
              </w:rPr>
              <w:t>外部有效性与低端边界</w:t>
            </w:r>
          </w:p>
        </w:tc>
        <w:tc>
          <w:tcPr>
            <w:tcW w:w="3061" w:type="dxa"/>
            <w:shd w:val="clear" w:color="auto" w:fill="F8FAFC"/>
            <w:tcMar>
              <w:top w:w="70" w:type="dxa"/>
              <w:left w:w="80" w:type="dxa"/>
              <w:bottom w:w="70" w:type="dxa"/>
              <w:right w:w="80" w:type="dxa"/>
            </w:tcMar>
            <w:vAlign w:val="center"/>
          </w:tcPr>
          <w:p w14:paraId="7A10E242">
            <w:pPr>
              <w:spacing w:after="0"/>
              <w:ind w:firstLine="0"/>
              <w:rPr>
                <w:rFonts w:ascii="Times New Roman" w:hAnsi="Times New Roman" w:eastAsia="宋体"/>
                <w:highlight w:val="none"/>
              </w:rPr>
            </w:pPr>
            <w:r>
              <w:rPr>
                <w:rFonts w:ascii="Times New Roman" w:hAnsi="Times New Roman" w:eastAsia="宋体"/>
              </w:rPr>
              <w:t>只讨论完整平台 endpoint，不做纯 GPU 因果</w:t>
            </w:r>
          </w:p>
        </w:tc>
        <w:tc>
          <w:tcPr>
            <w:tcW w:w="3175" w:type="dxa"/>
            <w:shd w:val="clear" w:color="auto" w:fill="F8FAFC"/>
            <w:tcMar>
              <w:top w:w="70" w:type="dxa"/>
              <w:left w:w="80" w:type="dxa"/>
              <w:bottom w:w="70" w:type="dxa"/>
              <w:right w:w="80" w:type="dxa"/>
            </w:tcMar>
            <w:vAlign w:val="center"/>
          </w:tcPr>
          <w:p w14:paraId="2E515154">
            <w:pPr>
              <w:spacing w:after="0"/>
              <w:ind w:firstLine="0"/>
              <w:rPr>
                <w:rFonts w:ascii="Times New Roman" w:hAnsi="Times New Roman" w:eastAsia="宋体"/>
                <w:highlight w:val="none"/>
              </w:rPr>
            </w:pPr>
            <w:r>
              <w:rPr>
                <w:rFonts w:ascii="Times New Roman" w:hAnsi="Times New Roman" w:eastAsia="宋体"/>
              </w:rPr>
              <w:t>实验协议 v2.1 的 P2</w:t>
            </w:r>
          </w:p>
        </w:tc>
      </w:tr>
      <w:tr w14:paraId="1354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D9030E4">
            <w:pPr>
              <w:spacing w:after="0"/>
              <w:ind w:firstLine="0"/>
              <w:rPr>
                <w:rFonts w:ascii="Times New Roman" w:hAnsi="Times New Roman" w:eastAsia="宋体"/>
                <w:highlight w:val="none"/>
              </w:rPr>
            </w:pPr>
            <w:r>
              <w:rPr>
                <w:rFonts w:ascii="Times New Roman" w:hAnsi="Times New Roman" w:eastAsia="宋体"/>
              </w:rPr>
              <w:t>端侧/统一内存平台</w:t>
            </w:r>
          </w:p>
        </w:tc>
        <w:tc>
          <w:tcPr>
            <w:tcW w:w="1814" w:type="dxa"/>
            <w:tcMar>
              <w:top w:w="70" w:type="dxa"/>
              <w:left w:w="80" w:type="dxa"/>
              <w:bottom w:w="70" w:type="dxa"/>
              <w:right w:w="80" w:type="dxa"/>
            </w:tcMar>
            <w:vAlign w:val="center"/>
          </w:tcPr>
          <w:p w14:paraId="6F1AAE45">
            <w:pPr>
              <w:spacing w:after="0"/>
              <w:ind w:firstLine="0"/>
              <w:rPr>
                <w:rFonts w:ascii="Times New Roman" w:hAnsi="Times New Roman" w:eastAsia="宋体"/>
                <w:highlight w:val="none"/>
              </w:rPr>
            </w:pPr>
            <w:r>
              <w:rPr>
                <w:rFonts w:ascii="Times New Roman" w:hAnsi="Times New Roman" w:eastAsia="宋体"/>
              </w:rPr>
              <w:t>后续独立扩展</w:t>
            </w:r>
          </w:p>
        </w:tc>
        <w:tc>
          <w:tcPr>
            <w:tcW w:w="3061" w:type="dxa"/>
            <w:tcMar>
              <w:top w:w="70" w:type="dxa"/>
              <w:left w:w="80" w:type="dxa"/>
              <w:bottom w:w="70" w:type="dxa"/>
              <w:right w:w="80" w:type="dxa"/>
            </w:tcMar>
            <w:vAlign w:val="center"/>
          </w:tcPr>
          <w:p w14:paraId="326333AC">
            <w:pPr>
              <w:spacing w:after="0"/>
              <w:ind w:firstLine="0"/>
              <w:rPr>
                <w:rFonts w:ascii="Times New Roman" w:hAnsi="Times New Roman" w:eastAsia="宋体"/>
                <w:highlight w:val="none"/>
              </w:rPr>
            </w:pPr>
            <w:r>
              <w:rPr>
                <w:rFonts w:ascii="Times New Roman" w:hAnsi="Times New Roman" w:eastAsia="宋体"/>
              </w:rPr>
              <w:t>需额外建模功耗、统一内存、thermal 与外层 E2E</w:t>
            </w:r>
          </w:p>
        </w:tc>
        <w:tc>
          <w:tcPr>
            <w:tcW w:w="3175" w:type="dxa"/>
            <w:tcMar>
              <w:top w:w="70" w:type="dxa"/>
              <w:left w:w="80" w:type="dxa"/>
              <w:bottom w:w="70" w:type="dxa"/>
              <w:right w:w="80" w:type="dxa"/>
            </w:tcMar>
            <w:vAlign w:val="center"/>
          </w:tcPr>
          <w:p w14:paraId="22F64407">
            <w:pPr>
              <w:spacing w:after="0"/>
              <w:ind w:firstLine="0"/>
              <w:rPr>
                <w:rFonts w:ascii="Times New Roman" w:hAnsi="Times New Roman" w:eastAsia="宋体"/>
                <w:highlight w:val="none"/>
              </w:rPr>
            </w:pPr>
            <w:r>
              <w:rPr>
                <w:rFonts w:ascii="Times New Roman" w:hAnsi="Times New Roman" w:eastAsia="宋体"/>
              </w:rPr>
              <w:t>未来工作</w:t>
            </w:r>
          </w:p>
        </w:tc>
      </w:tr>
    </w:tbl>
    <w:p w14:paraId="13E3B2A3">
      <w:pPr>
        <w:spacing w:after="20"/>
        <w:rPr>
          <w:rFonts w:ascii="Times New Roman" w:hAnsi="Times New Roman" w:eastAsia="宋体"/>
          <w:highlight w:val="none"/>
        </w:rPr>
      </w:pPr>
    </w:p>
    <w:p w14:paraId="78C92717">
      <w:pPr>
        <w:pStyle w:val="167"/>
        <w:shd w:val="clear" w:fill="E6F3EB"/>
        <w:rPr>
          <w:rFonts w:ascii="Times New Roman" w:hAnsi="Times New Roman" w:eastAsia="宋体"/>
          <w:highlight w:val="none"/>
        </w:rPr>
      </w:pPr>
      <w:r>
        <w:rPr>
          <w:rFonts w:ascii="Times New Roman" w:hAnsi="Times New Roman" w:eastAsia="宋体"/>
          <w:color w:val="000000"/>
        </w:rPr>
        <w:t>资源有限时，优先保证 Q0→N1/G1→G2 主证据链。G3/G4 只在核心链完成后用于检验一个必要的适用边界；外部平台、端侧、MoE、量化和跨引擎扩展不得挤占核心工作。</w:t>
      </w:r>
    </w:p>
    <w:p w14:paraId="7A0F783F">
      <w:pPr>
        <w:pStyle w:val="4"/>
        <w:rPr>
          <w:rFonts w:ascii="Times New Roman" w:hAnsi="Times New Roman" w:eastAsia="宋体"/>
        </w:rPr>
      </w:pPr>
      <w:r>
        <w:rPr>
          <w:rFonts w:ascii="Times New Roman" w:hAnsi="Times New Roman" w:eastAsia="宋体"/>
          <w:color w:val="000000"/>
        </w:rPr>
        <w:t>1.8 研究问题与假设</w:t>
      </w:r>
    </w:p>
    <w:tbl>
      <w:tblPr>
        <w:tblStyle w:val="34"/>
        <w:tblW w:w="84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4419"/>
        <w:gridCol w:w="3183"/>
      </w:tblGrid>
      <w:tr w14:paraId="05CCA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CE6F1"/>
            <w:tcMar>
              <w:top w:w="70" w:type="dxa"/>
              <w:left w:w="80" w:type="dxa"/>
              <w:bottom w:w="70" w:type="dxa"/>
              <w:right w:w="80" w:type="dxa"/>
            </w:tcMar>
            <w:vAlign w:val="center"/>
          </w:tcPr>
          <w:p>
            <w:r>
              <w:rPr/>
              <w:t>证据问题</w:t>
            </w:r>
          </w:p>
        </w:tc>
        <w:tc>
          <w:tcPr>
            <w:tcW w:w="0" w:type="auto"/>
            <w:shd w:val="clear" w:color="auto" w:fill="DCE6F1"/>
            <w:tcMar>
              <w:top w:w="70" w:type="dxa"/>
              <w:left w:w="80" w:type="dxa"/>
              <w:bottom w:w="70" w:type="dxa"/>
              <w:right w:w="80" w:type="dxa"/>
            </w:tcMar>
            <w:vAlign w:val="center"/>
          </w:tcPr>
          <w:p>
            <w:r>
              <w:rPr/>
              <w:t>要回答的问题</w:t>
            </w:r>
          </w:p>
        </w:tc>
        <w:tc>
          <w:tcPr>
            <w:tcW w:w="3183" w:type="dxa"/>
            <w:shd w:val="clear" w:color="auto" w:fill="DCE6F1"/>
            <w:tcMar>
              <w:top w:w="70" w:type="dxa"/>
              <w:left w:w="80" w:type="dxa"/>
              <w:bottom w:w="70" w:type="dxa"/>
              <w:right w:w="80" w:type="dxa"/>
            </w:tcMar>
            <w:vAlign w:val="center"/>
          </w:tcPr>
          <w:p>
            <w:r>
              <w:rPr/>
              <w:t>核心证据</w:t>
            </w:r>
          </w:p>
        </w:tc>
      </w:tr>
      <w:tr w14:paraId="640B2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r>
              <w:rPr/>
              <w:t>Q0 Correctness</w:t>
            </w:r>
          </w:p>
        </w:tc>
        <w:tc>
          <w:tcPr>
            <w:tcW w:w="0" w:type="auto"/>
            <w:tcMar>
              <w:top w:w="70" w:type="dxa"/>
              <w:left w:w="80" w:type="dxa"/>
              <w:bottom w:w="70" w:type="dxa"/>
              <w:right w:w="80" w:type="dxa"/>
            </w:tcMar>
            <w:vAlign w:val="center"/>
          </w:tcPr>
          <w:p>
            <w:r>
              <w:rPr/>
              <w:t>S 是否按 CUDA completion semantics 正确恢复 W(s)、terminal、validity，并使 A/B 满足语义不变量？</w:t>
            </w:r>
          </w:p>
        </w:tc>
        <w:tc>
          <w:tcPr>
            <w:tcW w:w="3183" w:type="dxa"/>
            <w:tcMar>
              <w:top w:w="70" w:type="dxa"/>
              <w:left w:w="80" w:type="dxa"/>
              <w:bottom w:w="70" w:type="dxa"/>
              <w:right w:w="80" w:type="dxa"/>
            </w:tcMar>
            <w:vAlign w:val="center"/>
          </w:tcPr>
          <w:p>
            <w:r>
              <w:rPr/>
              <w:t>受控 CUDA 微程序、独立 oracle、合成 fixture、真实 observation stack 与 fail-closed</w:t>
            </w:r>
          </w:p>
        </w:tc>
      </w:tr>
      <w:tr w14:paraId="2971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2CC"/>
            <w:tcMar>
              <w:top w:w="70" w:type="dxa"/>
              <w:left w:w="80" w:type="dxa"/>
              <w:bottom w:w="70" w:type="dxa"/>
              <w:right w:w="80" w:type="dxa"/>
            </w:tcMar>
            <w:vAlign w:val="center"/>
          </w:tcPr>
          <w:p>
            <w:r>
              <w:rPr/>
              <w:t>N1 Information Gain</w:t>
            </w:r>
          </w:p>
        </w:tc>
        <w:tc>
          <w:tcPr>
            <w:tcW w:w="0" w:type="auto"/>
            <w:shd w:val="clear" w:color="auto" w:fill="FFF2CC"/>
            <w:tcMar>
              <w:top w:w="70" w:type="dxa"/>
              <w:left w:w="80" w:type="dxa"/>
              <w:bottom w:w="70" w:type="dxa"/>
              <w:right w:w="80" w:type="dxa"/>
            </w:tcMar>
            <w:vAlign w:val="center"/>
          </w:tcPr>
          <w:p>
            <w:r>
              <w:rPr/>
              <w:t>人为移动 completion boundary 时，局部 raw sync 能否代表 request-level 增量？</w:t>
            </w:r>
          </w:p>
        </w:tc>
        <w:tc>
          <w:tcPr>
            <w:tcW w:w="3183" w:type="dxa"/>
            <w:shd w:val="clear" w:color="auto" w:fill="FFF2CC"/>
            <w:tcMar>
              <w:top w:w="70" w:type="dxa"/>
              <w:left w:w="80" w:type="dxa"/>
              <w:bottom w:w="70" w:type="dxa"/>
              <w:right w:w="80" w:type="dxa"/>
            </w:tcMar>
            <w:vAlign w:val="center"/>
          </w:tcPr>
          <w:p>
            <w:r>
              <w:rPr/>
              <w:t>自然基线与干预隔离、Pass0 ΔE2E、A 净变化、B waiting migration/hidden progress</w:t>
            </w:r>
          </w:p>
        </w:tc>
      </w:tr>
      <w:tr w14:paraId="67BD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r>
              <w:rPr/>
              <w:t>G1 Information Gain</w:t>
            </w:r>
          </w:p>
        </w:tc>
        <w:tc>
          <w:tcPr>
            <w:tcW w:w="0" w:type="auto"/>
            <w:tcMar>
              <w:top w:w="70" w:type="dxa"/>
              <w:left w:w="80" w:type="dxa"/>
              <w:bottom w:w="70" w:type="dxa"/>
              <w:right w:w="80" w:type="dxa"/>
            </w:tcMar>
            <w:vAlign w:val="center"/>
          </w:tcPr>
          <w:p>
            <w:r>
              <w:rPr/>
              <w:t>自然 workload 变化下，activity 与 exposure 是同比、稳定非同比、区间依赖还是 null？</w:t>
            </w:r>
          </w:p>
        </w:tc>
        <w:tc>
          <w:tcPr>
            <w:tcW w:w="3183" w:type="dxa"/>
            <w:tcMar>
              <w:top w:w="70" w:type="dxa"/>
              <w:left w:w="80" w:type="dxa"/>
              <w:bottom w:w="70" w:type="dxa"/>
              <w:right w:w="80" w:type="dxa"/>
            </w:tcMar>
            <w:vAlign w:val="center"/>
          </w:tcPr>
          <w:p>
            <w:r>
              <w:rPr/>
              <w:t>冻结 workload、Prefill 绝对量、Decode per-token、A/B/Signature 与传统 baseline</w:t>
            </w:r>
          </w:p>
        </w:tc>
      </w:tr>
      <w:tr w14:paraId="4D43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64" w:type="dxa"/>
            <w:shd w:val="clear" w:color="auto" w:fill="F8FAFC"/>
            <w:tcMar>
              <w:top w:w="70" w:type="dxa"/>
              <w:left w:w="80" w:type="dxa"/>
              <w:bottom w:w="70" w:type="dxa"/>
              <w:right w:w="80" w:type="dxa"/>
            </w:tcMar>
            <w:vAlign w:val="center"/>
          </w:tcPr>
          <w:p>
            <w:r>
              <w:rPr/>
              <w:t>G2 Decision Gain</w:t>
            </w:r>
          </w:p>
        </w:tc>
        <w:tc>
          <w:tcPr>
            <w:tcW w:w="4419" w:type="dxa"/>
            <w:shd w:val="clear" w:color="auto" w:fill="F8FAFC"/>
            <w:tcMar>
              <w:top w:w="70" w:type="dxa"/>
              <w:left w:w="80" w:type="dxa"/>
              <w:bottom w:w="70" w:type="dxa"/>
              <w:right w:w="80" w:type="dxa"/>
            </w:tcMar>
            <w:vAlign w:val="center"/>
          </w:tcPr>
          <w:p>
            <w:r>
              <w:rPr/>
              <w:t>Exposure 信息能否在 held-out 场景中增加真实优化选择或解释价值？</w:t>
            </w:r>
          </w:p>
        </w:tc>
        <w:tc>
          <w:tcPr>
            <w:tcW w:w="3183" w:type="dxa"/>
            <w:shd w:val="clear" w:color="auto" w:fill="F8FAFC"/>
            <w:tcMar>
              <w:top w:w="70" w:type="dxa"/>
              <w:left w:w="80" w:type="dxa"/>
              <w:bottom w:w="70" w:type="dxa"/>
              <w:right w:w="80" w:type="dxa"/>
            </w:tcMar>
            <w:vAlign w:val="center"/>
          </w:tcPr>
          <w:p>
            <w:r>
              <w:rPr/>
              <w:t>预注册干预、baseline、held-out、ΔA 与失败后 claim 收缩</w:t>
            </w:r>
          </w:p>
        </w:tc>
      </w:tr>
    </w:tbl>
    <w:p w14:paraId="697DF1EE">
      <w:pPr>
        <w:spacing w:after="20"/>
        <w:rPr>
          <w:rFonts w:ascii="Times New Roman" w:hAnsi="Times New Roman" w:eastAsia="宋体"/>
        </w:rPr>
      </w:pPr>
    </w:p>
    <w:p w14:paraId="5BBEEE89">
      <w:pPr>
        <w:rPr>
          <w:rFonts w:ascii="Times New Roman" w:hAnsi="Times New Roman" w:eastAsia="宋体"/>
        </w:rPr>
      </w:pPr>
      <w:r>
        <w:rPr>
          <w:rFonts w:ascii="Times New Roman" w:hAnsi="Times New Roman" w:eastAsia="宋体"/>
          <w:color w:val="000000"/>
        </w:rPr>
        <w:t>G2 是 Decision Gain 层，不是 Q0/G1 的替代品。若 G2 干预不可运行或 held-out 结果无增量，应删除预测或决策优势主张；不能通过更换跨栈 endpoint 或事后改分数追求正结果。</w:t>
      </w:r>
    </w:p>
    <w:p w14:paraId="00A5FD91">
      <w:pPr>
        <w:bidi w:val="0"/>
      </w:pPr>
      <w:r>
        <w:rPr>
          <w:color w:val="000000"/>
        </w:rPr>
        <w:t>当前不启用任何跨栈或事后选择的 G2 fallback。C1、G2_score、held-out 单元和 baseline 在本阶段都只是待 Pilot 审查的候选；只有在 Formal 数据前完成预注册与 Protocol Freeze 后，才能用于决策增量检验。</w:t>
      </w:r>
    </w:p>
    <w:p w14:paraId="69A9E886">
      <w:pPr>
        <w:pStyle w:val="5"/>
        <w:rPr>
          <w:rFonts w:ascii="Times New Roman" w:hAnsi="Times New Roman" w:eastAsia="宋体"/>
          <w:highlight w:val="none"/>
        </w:rPr>
      </w:pPr>
      <w:r>
        <w:rPr>
          <w:rFonts w:ascii="Times New Roman" w:hAnsi="Times New Roman" w:eastAsia="宋体"/>
          <w:color w:val="000000"/>
        </w:rPr>
        <w:t>1.8.1 迁移判定：连续 D 为主，离散状态为辅</w:t>
      </w:r>
    </w:p>
    <w:p w14:paraId="5D4B8568">
      <w:pPr>
        <w:pStyle w:val="169"/>
        <w:jc w:val="center"/>
        <w:rPr>
          <w:rFonts w:ascii="Times New Roman" w:hAnsi="Times New Roman" w:eastAsia="宋体"/>
          <w:highlight w:val="none"/>
        </w:rPr>
      </w:pPr>
      <w:r>
        <w:rPr>
          <w:rFonts w:ascii="Times New Roman" w:hAnsi="Times New Roman" w:eastAsia="宋体"/>
          <w:color w:val="000000"/>
        </w:rPr>
        <w:t>D_margin,φ = A_device_wait_ms − (A_host_path_ms + A_cuda_api_ms)</w:t>
      </w:r>
    </w:p>
    <w:p w14:paraId="7BF1D01F">
      <w:pPr>
        <w:pStyle w:val="169"/>
        <w:jc w:val="center"/>
        <w:rPr>
          <w:rFonts w:ascii="Times New Roman" w:hAnsi="Times New Roman" w:eastAsia="宋体"/>
          <w:highlight w:val="none"/>
        </w:rPr>
      </w:pPr>
      <w:r>
        <w:rPr>
          <w:rFonts w:ascii="Times New Roman" w:hAnsi="Times New Roman" w:eastAsia="宋体"/>
          <w:color w:val="000000"/>
        </w:rPr>
        <w:t>D_score,φ = D_margin,φ / (A_device_wait_ms + A_host_path_ms + A_cuda_api_ms)</w:t>
      </w:r>
    </w:p>
    <w:p w14:paraId="53A703B4">
      <w:pPr>
        <w:rPr>
          <w:rFonts w:ascii="Times New Roman" w:hAnsi="Times New Roman" w:eastAsia="宋体"/>
          <w:highlight w:val="none"/>
        </w:rPr>
      </w:pPr>
      <w:r>
        <w:rPr>
          <w:rFonts w:ascii="Times New Roman" w:hAnsi="Times New Roman" w:eastAsia="宋体"/>
          <w:color w:val="000000"/>
        </w:rPr>
        <w:t>D_score∈[−1,1]，分母为 0 时为 null。D&lt;0 表示 Host/API 两类在三项竞争组成中占优，D&gt;0 表示 device-wait 占优，D=0 是结构平衡点；A_sync_residual 与 A_unattributed 不被隐藏，必须在同图或伴随表中继续报告。</w:t>
      </w:r>
    </w:p>
    <w:p w14:paraId="6ADAA909">
      <w:pPr>
        <w:pStyle w:val="167"/>
        <w:rPr>
          <w:rFonts w:ascii="Times New Roman" w:hAnsi="Times New Roman" w:eastAsia="宋体"/>
          <w:highlight w:val="none"/>
        </w:rPr>
      </w:pPr>
      <w:r>
        <w:rPr>
          <w:rFonts w:ascii="Times New Roman" w:hAnsi="Times New Roman" w:eastAsia="宋体"/>
          <w:b w:val="0"/>
          <w:color w:val="000000"/>
        </w:rPr>
        <w:t>正式判定不需要事后挑选任意百分比阈值：先在每个 repeat/phase 计算 D；WMPC 级主点估计定义为全部成功 repeat 的 D_score 算术平均，95% percentile bootstrap CI 以 repeat 为重采样单位。CI 上界&lt;0 记为 HOST_API_DOMINANT，CI 下界&gt;0 记为 DEVICE_WAIT_DOMINANT，CI 包含 0 记为 TRANSITION_UNCERTAIN。CI 跨 0 是合法的结构平衡/证据不确定结果，不是数据质量失败，也不要求继续追加 repeat 直至 CI 离开 0。</w:t>
      </w:r>
    </w:p>
    <w:p w14:paraId="4D60EB7C">
      <w:pPr>
        <w:rPr>
          <w:rFonts w:ascii="Times New Roman" w:hAnsi="Times New Roman" w:eastAsia="宋体"/>
          <w:highlight w:val="none"/>
        </w:rPr>
      </w:pPr>
      <w:r>
        <w:rPr>
          <w:rFonts w:ascii="Times New Roman" w:hAnsi="Times New Roman" w:eastAsia="宋体"/>
          <w:b w:val="0"/>
          <w:color w:val="000000"/>
        </w:rPr>
        <w:t>论文主证据采用“双视图”：第一视图在离散 W 网格上绘制条件化趋势曲线与二维无插值热图——固定两个 W 变量，沿第三个有序变量展示 D_score 点估计及 95% CI；第二视图绘制五类 A 的绝对值和占比堆叠图。图中的连接线仅辅助观察已测离散点之间的变化，不宣称未测 W 区间存在已验证的连续函数或三维平滑响应面；离散 dominance state 只用于摘要和定位。</w:t>
      </w:r>
    </w:p>
    <w:p w14:paraId="482D62E2">
      <w:pPr>
        <w:pStyle w:val="168"/>
        <w:rPr>
          <w:rFonts w:ascii="Times New Roman" w:hAnsi="Times New Roman" w:eastAsia="宋体"/>
          <w:highlight w:val="none"/>
        </w:rPr>
      </w:pPr>
      <w:r>
        <w:rPr>
          <w:rFonts w:ascii="Times New Roman" w:hAnsi="Times New Roman" w:eastAsia="宋体"/>
          <w:b w:val="0"/>
          <w:color w:val="000000"/>
        </w:rPr>
        <w:t>practical effect band |D|≤δ 默认不启用（δ=null）。只有 pilot 明确表明仪器分辨率或 repeat 波动使极小 D 差异缺乏实际意义时，才可由 pilot 的重复波动或最小可辨效应提出 δ，并在正式全矩阵分析前冻结；主论文仍报告 δ=0 的结果，δ 仅作为敏感性补充。</w:t>
      </w:r>
    </w:p>
    <w:p w14:paraId="517BDEF8">
      <w:pPr>
        <w:pStyle w:val="4"/>
        <w:rPr>
          <w:rFonts w:ascii="Times New Roman" w:hAnsi="Times New Roman" w:eastAsia="宋体"/>
        </w:rPr>
      </w:pPr>
      <w:r>
        <w:rPr>
          <w:rFonts w:ascii="Times New Roman" w:hAnsi="Times New Roman" w:eastAsia="宋体"/>
          <w:color w:val="000000"/>
        </w:rPr>
        <w:t>1.9 可投稿贡献层级</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6"/>
        <w:gridCol w:w="2528"/>
        <w:gridCol w:w="3402"/>
      </w:tblGrid>
      <w:tr w14:paraId="438F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30" w:type="dxa"/>
            <w:shd w:val="clear" w:color="auto" w:fill="DCE6F1"/>
            <w:tcMar>
              <w:top w:w="70" w:type="dxa"/>
              <w:left w:w="80" w:type="dxa"/>
              <w:bottom w:w="70" w:type="dxa"/>
              <w:right w:w="80" w:type="dxa"/>
            </w:tcMar>
            <w:vAlign w:val="center"/>
          </w:tcPr>
          <w:p>
            <w:r>
              <w:rPr/>
              <w:t>证据层级</w:t>
            </w:r>
          </w:p>
        </w:tc>
        <w:tc>
          <w:tcPr>
            <w:tcW w:w="3230" w:type="dxa"/>
            <w:shd w:val="clear" w:color="auto" w:fill="DCE6F1"/>
            <w:tcMar>
              <w:top w:w="70" w:type="dxa"/>
              <w:left w:w="80" w:type="dxa"/>
              <w:bottom w:w="70" w:type="dxa"/>
              <w:right w:w="80" w:type="dxa"/>
            </w:tcMar>
            <w:vAlign w:val="center"/>
          </w:tcPr>
          <w:p>
            <w:r>
              <w:rPr/>
              <w:t>必须具备的证据</w:t>
            </w:r>
          </w:p>
        </w:tc>
        <w:tc>
          <w:tcPr>
            <w:tcW w:w="3230" w:type="dxa"/>
            <w:shd w:val="clear" w:color="auto" w:fill="DCE6F1"/>
            <w:tcMar>
              <w:top w:w="70" w:type="dxa"/>
              <w:left w:w="80" w:type="dxa"/>
              <w:bottom w:w="70" w:type="dxa"/>
              <w:right w:w="80" w:type="dxa"/>
            </w:tcMar>
            <w:vAlign w:val="center"/>
          </w:tcPr>
          <w:p>
            <w:r>
              <w:rPr/>
              <w:t>允许主张</w:t>
            </w:r>
          </w:p>
        </w:tc>
      </w:tr>
      <w:tr w14:paraId="144EF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r>
              <w:rPr/>
              <w:t>L1 Correctness</w:t>
            </w:r>
          </w:p>
        </w:tc>
        <w:tc>
          <w:tcPr>
            <w:tcW w:w="3572" w:type="dxa"/>
            <w:tcMar>
              <w:top w:w="70" w:type="dxa"/>
              <w:left w:w="80" w:type="dxa"/>
              <w:bottom w:w="70" w:type="dxa"/>
              <w:right w:w="80" w:type="dxa"/>
            </w:tcMar>
            <w:vAlign w:val="center"/>
          </w:tcPr>
          <w:p>
            <w:r>
              <w:rPr/>
              <w:t>Q0 全部必需 case 通过</w:t>
            </w:r>
          </w:p>
        </w:tc>
        <w:tc>
          <w:tcPr>
            <w:tcW w:w="5102" w:type="dxa"/>
            <w:tcMar>
              <w:top w:w="70" w:type="dxa"/>
              <w:left w:w="80" w:type="dxa"/>
              <w:bottom w:w="70" w:type="dxa"/>
              <w:right w:w="80" w:type="dxa"/>
            </w:tcMar>
            <w:vAlign w:val="center"/>
          </w:tcPr>
          <w:p>
            <w:r>
              <w:rPr/>
              <w:t>在声明支持的 observation 条件下正确恢复测量对象</w:t>
            </w:r>
          </w:p>
        </w:tc>
      </w:tr>
      <w:tr w14:paraId="6D67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8FAFC"/>
            <w:tcMar>
              <w:top w:w="70" w:type="dxa"/>
              <w:left w:w="80" w:type="dxa"/>
              <w:bottom w:w="70" w:type="dxa"/>
              <w:right w:w="80" w:type="dxa"/>
            </w:tcMar>
            <w:vAlign w:val="center"/>
          </w:tcPr>
          <w:p>
            <w:r>
              <w:rPr/>
              <w:t>L2 Information Gain</w:t>
            </w:r>
          </w:p>
        </w:tc>
        <w:tc>
          <w:tcPr>
            <w:tcW w:w="3572" w:type="dxa"/>
            <w:shd w:val="clear" w:color="auto" w:fill="F8FAFC"/>
            <w:tcMar>
              <w:top w:w="70" w:type="dxa"/>
              <w:left w:w="80" w:type="dxa"/>
              <w:bottom w:w="70" w:type="dxa"/>
              <w:right w:w="80" w:type="dxa"/>
            </w:tcMar>
            <w:vAlign w:val="center"/>
          </w:tcPr>
          <w:p>
            <w:r>
              <w:rPr/>
              <w:t>L1 + N1/G1 的稳定非冗余信息或明确等价边界</w:t>
            </w:r>
          </w:p>
        </w:tc>
        <w:tc>
          <w:tcPr>
            <w:tcW w:w="5102" w:type="dxa"/>
            <w:shd w:val="clear" w:color="auto" w:fill="F8FAFC"/>
            <w:tcMar>
              <w:top w:w="70" w:type="dxa"/>
              <w:left w:w="80" w:type="dxa"/>
              <w:bottom w:w="70" w:type="dxa"/>
              <w:right w:w="80" w:type="dxa"/>
            </w:tcMar>
            <w:vAlign w:val="center"/>
          </w:tcPr>
          <w:p>
            <w:r>
              <w:rPr/>
              <w:t>相对传统 activity 指标增加解释信息，或界定其充分区间</w:t>
            </w:r>
          </w:p>
        </w:tc>
      </w:tr>
      <w:tr w14:paraId="2823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r>
              <w:rPr/>
              <w:t>L3 Decision Gain</w:t>
            </w:r>
          </w:p>
        </w:tc>
        <w:tc>
          <w:tcPr>
            <w:tcW w:w="3572" w:type="dxa"/>
            <w:tcMar>
              <w:top w:w="70" w:type="dxa"/>
              <w:left w:w="80" w:type="dxa"/>
              <w:bottom w:w="70" w:type="dxa"/>
              <w:right w:w="80" w:type="dxa"/>
            </w:tcMar>
            <w:vAlign w:val="center"/>
          </w:tcPr>
          <w:p>
            <w:r>
              <w:rPr/>
              <w:t>L2 + 预注册 held-out G2</w:t>
            </w:r>
          </w:p>
        </w:tc>
        <w:tc>
          <w:tcPr>
            <w:tcW w:w="5102" w:type="dxa"/>
            <w:tcMar>
              <w:top w:w="70" w:type="dxa"/>
              <w:left w:w="80" w:type="dxa"/>
              <w:bottom w:w="70" w:type="dxa"/>
              <w:right w:w="80" w:type="dxa"/>
            </w:tcMar>
            <w:vAlign w:val="center"/>
          </w:tcPr>
          <w:p>
            <w:r>
              <w:rPr/>
              <w:t>在限定优化与平台范围内增加决策或响应解释价值</w:t>
            </w:r>
          </w:p>
        </w:tc>
      </w:tr>
      <w:tr w14:paraId="1B9DB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8FAFC"/>
            <w:tcMar>
              <w:top w:w="70" w:type="dxa"/>
              <w:left w:w="80" w:type="dxa"/>
              <w:bottom w:w="70" w:type="dxa"/>
              <w:right w:w="80" w:type="dxa"/>
            </w:tcMar>
            <w:vAlign w:val="center"/>
          </w:tcPr>
          <w:p>
            <w:r>
              <w:rPr/>
              <w:t>L4 Applicability</w:t>
            </w:r>
          </w:p>
        </w:tc>
        <w:tc>
          <w:tcPr>
            <w:tcW w:w="3572" w:type="dxa"/>
            <w:shd w:val="clear" w:color="auto" w:fill="F8FAFC"/>
            <w:tcMar>
              <w:top w:w="70" w:type="dxa"/>
              <w:left w:w="80" w:type="dxa"/>
              <w:bottom w:w="70" w:type="dxa"/>
              <w:right w:w="80" w:type="dxa"/>
            </w:tcMar>
            <w:vAlign w:val="center"/>
          </w:tcPr>
          <w:p>
            <w:r>
              <w:rPr/>
              <w:t>L1–L3 + 必要的 G3/G4 边界实验</w:t>
            </w:r>
          </w:p>
        </w:tc>
        <w:tc>
          <w:tcPr>
            <w:tcW w:w="5102" w:type="dxa"/>
            <w:shd w:val="clear" w:color="auto" w:fill="F8FAFC"/>
            <w:tcMar>
              <w:top w:w="70" w:type="dxa"/>
              <w:left w:w="80" w:type="dxa"/>
              <w:bottom w:w="70" w:type="dxa"/>
              <w:right w:w="80" w:type="dxa"/>
            </w:tcMar>
            <w:vAlign w:val="center"/>
          </w:tcPr>
          <w:p>
            <w:r>
              <w:rPr/>
              <w:t>限定条件下的适用范围，不自动推广到多 GPU/serving</w:t>
            </w:r>
          </w:p>
        </w:tc>
      </w:tr>
    </w:tbl>
    <w:p w14:paraId="251EA6B9">
      <w:pPr>
        <w:spacing w:after="20"/>
        <w:rPr>
          <w:rFonts w:ascii="Times New Roman" w:hAnsi="Times New Roman" w:eastAsia="宋体"/>
        </w:rPr>
      </w:pPr>
    </w:p>
    <w:p w14:paraId="6CF09D1D">
      <w:pPr>
        <w:rPr>
          <w:rFonts w:ascii="Times New Roman" w:hAnsi="Times New Roman" w:eastAsia="宋体"/>
        </w:rPr>
      </w:pPr>
      <w:r>
        <w:rPr>
          <w:rFonts w:ascii="Times New Roman" w:hAnsi="Times New Roman" w:eastAsia="宋体"/>
          <w:color w:val="000000"/>
        </w:rPr>
        <w:br w:type="page"/>
      </w:r>
    </w:p>
    <w:p w14:paraId="328B6A5E">
      <w:pPr>
        <w:pStyle w:val="3"/>
        <w:rPr>
          <w:rFonts w:ascii="Times New Roman" w:hAnsi="Times New Roman" w:eastAsia="宋体"/>
        </w:rPr>
      </w:pPr>
      <w:r>
        <w:rPr>
          <w:rFonts w:ascii="Times New Roman" w:hAnsi="Times New Roman" w:eastAsia="宋体"/>
          <w:color w:val="000000"/>
        </w:rPr>
        <w:t>第二章　测量边界、Raw/S/A/B 建模与指标体系</w:t>
      </w:r>
    </w:p>
    <w:p w14:paraId="6967017D">
      <w:pPr>
        <w:pStyle w:val="4"/>
        <w:rPr>
          <w:rFonts w:ascii="Times New Roman" w:hAnsi="Times New Roman" w:eastAsia="宋体"/>
        </w:rPr>
      </w:pPr>
      <w:r>
        <w:rPr>
          <w:rFonts w:ascii="Times New Roman" w:hAnsi="Times New Roman" w:eastAsia="宋体"/>
          <w:color w:val="000000"/>
        </w:rPr>
        <w:t>2.1 数据流：S 是 A/B 的共同前置，不是独立性能层</w:t>
      </w:r>
    </w:p>
    <w:p w14:paraId="135392AC">
      <w:pPr>
        <w:pStyle w:val="169"/>
        <w:shd w:val="clear" w:fill="F3F5F7"/>
        <w:jc w:val="center"/>
        <w:rPr>
          <w:rFonts w:ascii="Times New Roman" w:hAnsi="Times New Roman" w:eastAsia="宋体"/>
        </w:rPr>
      </w:pPr>
      <w:r>
        <w:rPr>
          <w:rFonts w:ascii="Times New Roman" w:hAnsi="Times New Roman" w:eastAsia="宋体"/>
          <w:b/>
          <w:color w:val="000000"/>
          <w:sz w:val="20"/>
        </w:rPr>
        <w:t>Raw trace → S(sync semantic normalization) → {A wall-clock accounting, B per-sync provenance}</w:t>
      </w:r>
    </w:p>
    <w:p w14:paraId="523A7A62">
      <w:pPr>
        <w:rPr>
          <w:rFonts w:ascii="Times New Roman" w:hAnsi="Times New Roman" w:eastAsia="宋体"/>
          <w:highlight w:val="none"/>
        </w:rPr>
      </w:pPr>
      <w:r>
        <w:rPr>
          <w:rFonts w:ascii="Times New Roman" w:hAnsi="Times New Roman" w:eastAsia="宋体"/>
          <w:color w:val="000000"/>
        </w:rPr>
        <w:t>Raw trace 只记录 API、kernel、MemOp、synchronization、identity 与时间事实。S 按同步类型、提交顺序、context/stream/event、ownership 和 observation contract 恢复 W(s)、terminal 证据与 validity。A 与 B 共同依赖 S：A 回答 request/phase 的互斥墙钟去向，B 回答单次同步的来源与隐藏/暴露结构；D 与 Exposure Signature 只能从冻结后的 A/B 派生。</w:t>
      </w:r>
    </w:p>
    <w:p w14:paraId="5200B86E">
      <w:pPr>
        <w:pStyle w:val="5"/>
        <w:rPr>
          <w:rFonts w:ascii="Times New Roman" w:hAnsi="Times New Roman" w:eastAsia="宋体"/>
        </w:rPr>
      </w:pPr>
      <w:r>
        <w:rPr>
          <w:rFonts w:ascii="Times New Roman" w:hAnsi="Times New Roman" w:eastAsia="宋体"/>
          <w:color w:val="000000"/>
        </w:rPr>
        <w:t>阶段时延、ratio-of-sums 吞吐与 token 归一化</w:t>
      </w:r>
    </w:p>
    <w:p w14:paraId="4F454023">
      <w:pPr>
        <w:pStyle w:val="169"/>
        <w:rPr>
          <w:rFonts w:ascii="Times New Roman" w:hAnsi="Times New Roman" w:eastAsia="宋体"/>
        </w:rPr>
      </w:pPr>
      <w:r>
        <w:rPr>
          <w:rFonts w:ascii="Times New Roman" w:hAnsi="Times New Roman" w:eastAsia="宋体"/>
          <w:color w:val="000000"/>
        </w:rPr>
        <w:t>prefill_latency_ms = prefill.end − prefill.start；decode_latency_ms = decode.end − decode.start</w:t>
      </w:r>
    </w:p>
    <w:p w14:paraId="705DE479">
      <w:pPr>
        <w:pStyle w:val="169"/>
        <w:rPr>
          <w:rFonts w:ascii="Times New Roman" w:hAnsi="Times New Roman" w:eastAsia="宋体"/>
        </w:rPr>
      </w:pPr>
      <w:r>
        <w:rPr>
          <w:rFonts w:ascii="Times New Roman" w:hAnsi="Times New Roman" w:eastAsia="宋体"/>
          <w:color w:val="000000"/>
        </w:rPr>
        <w:t>prefill_tokens_per_repeat = batch_size × fixed_input_tokens；decode_tokens_per_repeat = batch_size × max(fixed_output_tokens − 1, 0)。首个输出 token 已计入 prefill，因此不重复计入 decode。</w:t>
      </w:r>
    </w:p>
    <w:p w14:paraId="0C896C4F">
      <w:pPr>
        <w:rPr>
          <w:rFonts w:ascii="Times New Roman" w:hAnsi="Times New Roman" w:eastAsia="宋体"/>
        </w:rPr>
      </w:pPr>
      <w:r>
        <w:rPr>
          <w:rFonts w:ascii="Times New Roman" w:hAnsi="Times New Roman" w:eastAsia="宋体"/>
          <w:color w:val="000000"/>
        </w:rPr>
        <w:t>WMPC 聚合吞吐必须使用 ratio-of-sums：prefill_throughput_tps = Σprefill_tokens_per_repeat / Σ(prefill_latency_ms/1000)，decode_throughput_tps = Σdecode_tokens_per_repeat / Σ(decode_latency_ms/1000)，inference_output_throughput_tps = Σ(batch_size × fixed_output_tokens) / Σ(inference_e2e_latency_ms/1000)。API/kernel/sync 的每 token 指标仅在对应 phase 内使用同一 token 分母；decode_tokens_per_repeat=0 时相关值为 null。主 latency/throughput 来自 Pass 0。</w:t>
      </w:r>
    </w:p>
    <w:p w14:paraId="0A630C98">
      <w:pPr>
        <w:pStyle w:val="4"/>
        <w:rPr>
          <w:rFonts w:ascii="Times New Roman" w:hAnsi="Times New Roman" w:eastAsia="宋体"/>
        </w:rPr>
      </w:pPr>
      <w:r>
        <w:rPr>
          <w:rFonts w:ascii="Times New Roman" w:hAnsi="Times New Roman" w:eastAsia="宋体"/>
          <w:color w:val="000000"/>
        </w:rPr>
        <w:t>2.2 Raw 层</w:t>
      </w:r>
    </w:p>
    <w:p w14:paraId="1177F29B">
      <w:pPr>
        <w:pStyle w:val="169"/>
        <w:shd w:val="clear" w:fill="F3F5F7"/>
        <w:jc w:val="center"/>
        <w:rPr>
          <w:rFonts w:ascii="Times New Roman" w:hAnsi="Times New Roman" w:eastAsia="宋体"/>
        </w:rPr>
      </w:pPr>
      <w:r>
        <w:rPr>
          <w:rFonts w:ascii="Times New Roman" w:hAnsi="Times New Roman" w:eastAsia="宋体"/>
          <w:b/>
          <w:color w:val="000000"/>
          <w:sz w:val="20"/>
        </w:rPr>
        <w:t>activity overlaps window ⇔ end &gt; window.start ∧ start &lt; window.end</w:t>
      </w:r>
    </w:p>
    <w:p w14:paraId="10FA98A2">
      <w:pPr>
        <w:rPr>
          <w:rFonts w:ascii="Times New Roman" w:hAnsi="Times New Roman" w:eastAsia="宋体"/>
        </w:rPr>
      </w:pPr>
      <w:r>
        <w:rPr>
          <w:rFonts w:ascii="Times New Roman" w:hAnsi="Times New Roman" w:eastAsia="宋体"/>
          <w:color w:val="000000"/>
        </w:rPr>
        <w:t>Raw 层保留事实：API/kernel/MemOp/sync count、raw duration、interval union、stream/context/correlation、GPU active 与 concurrency。Raw duration 不能直接相加为 request latency。窗口查询使用 start-sorted interval index、prefix-max-end 和最终半开区间过滤。</w:t>
      </w:r>
    </w:p>
    <w:p w14:paraId="140670DC">
      <w:pPr>
        <w:rPr>
          <w:rFonts w:ascii="Times New Roman" w:hAnsi="Times New Roman" w:eastAsia="宋体"/>
        </w:rPr>
      </w:pPr>
      <w:r>
        <w:rPr>
          <w:rFonts w:ascii="Times New Roman" w:hAnsi="Times New Roman" w:eastAsia="宋体"/>
          <w:color w:val="000000"/>
        </w:rPr>
        <w:t>其中，MemOp 仅统计 trace 中显式呈现的 memcpy、memset 等活动，不代表 kernel 内部的全部显存读写。</w:t>
      </w:r>
    </w:p>
    <w:p w14:paraId="6F33C040">
      <w:pPr>
        <w:pStyle w:val="4"/>
        <w:rPr>
          <w:rFonts w:ascii="Times New Roman" w:hAnsi="Times New Roman" w:eastAsia="宋体"/>
        </w:rPr>
      </w:pPr>
      <w:r>
        <w:rPr>
          <w:rFonts w:ascii="Times New Roman" w:hAnsi="Times New Roman" w:eastAsia="宋体"/>
          <w:color w:val="000000"/>
        </w:rPr>
        <w:t>2.3 S 层：同步语义归一化</w:t>
      </w:r>
    </w:p>
    <w:p>
      <w:pPr>
        <w:pStyle w:val="5"/>
      </w:pPr>
      <w:r>
        <w:rPr>
          <w:color w:val="000000"/>
        </w:rPr>
        <w:t>2.3.0 Completion set、W(s) 与时间关系</w:t>
      </w:r>
    </w:p>
    <w:p>
      <w:pPr/>
      <w:r>
        <w:rPr>
          <w:color w:val="000000"/>
        </w:rPr>
        <w:t>S 层先依据同步原语的 completion semantics 确定 semantic predecessor set，再用提交证据和 request ownership 构造 W(s)。时间戳用于区分成员在 sync 前已完成、与 sync 重叠或异常晚于 sync；时间重叠本身永远不能生成 dependency。</w:t>
      </w:r>
    </w:p>
    <w:p w14:paraId="64ACEF86">
      <w:pPr>
        <w:pStyle w:val="169"/>
        <w:shd w:val="clear" w:fill="F3F5F7"/>
        <w:jc w:val="center"/>
        <w:rPr>
          <w:rFonts w:ascii="Times New Roman" w:hAnsi="Times New Roman" w:eastAsia="宋体"/>
        </w:rPr>
      </w:pPr>
      <w:r>
        <w:rPr>
          <w:rFonts w:ascii="Times New Roman" w:hAnsi="Times New Roman" w:eastAsia="宋体"/>
          <w:b/>
          <w:color w:val="000000"/>
          <w:sz w:val="20"/>
        </w:rPr>
        <w:t>W(s) = {e | e 属于同步 s 的 completion scope，且在 s 之前按冻结提交规则成为其语义前驱并可归属到当前请求}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3046"/>
        <w:gridCol w:w="3010"/>
      </w:tblGrid>
      <w:tr w14:paraId="7C39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30" w:type="dxa"/>
            <w:shd w:val="clear" w:color="auto" w:fill="DCE6F1"/>
            <w:tcMar>
              <w:top w:w="70" w:type="dxa"/>
              <w:left w:w="80" w:type="dxa"/>
              <w:bottom w:w="70" w:type="dxa"/>
              <w:right w:w="80" w:type="dxa"/>
            </w:tcMar>
            <w:vAlign w:val="center"/>
          </w:tcPr>
          <w:p>
            <w:r>
              <w:rPr/>
              <w:t>sync 类型</w:t>
            </w:r>
          </w:p>
        </w:tc>
        <w:tc>
          <w:tcPr>
            <w:tcW w:w="3230" w:type="dxa"/>
            <w:shd w:val="clear" w:color="auto" w:fill="DCE6F1"/>
            <w:tcMar>
              <w:top w:w="70" w:type="dxa"/>
              <w:left w:w="80" w:type="dxa"/>
              <w:bottom w:w="70" w:type="dxa"/>
              <w:right w:w="80" w:type="dxa"/>
            </w:tcMar>
            <w:vAlign w:val="center"/>
          </w:tcPr>
          <w:p>
            <w:r>
              <w:rPr/>
              <w:t>completion scope / W(s) 规则</w:t>
            </w:r>
          </w:p>
        </w:tc>
        <w:tc>
          <w:tcPr>
            <w:tcW w:w="3230" w:type="dxa"/>
            <w:shd w:val="clear" w:color="auto" w:fill="DCE6F1"/>
            <w:tcMar>
              <w:top w:w="70" w:type="dxa"/>
              <w:left w:w="80" w:type="dxa"/>
              <w:bottom w:w="70" w:type="dxa"/>
              <w:right w:w="80" w:type="dxa"/>
            </w:tcMar>
            <w:vAlign w:val="center"/>
          </w:tcPr>
          <w:p>
            <w:r>
              <w:rPr/>
              <w:t>失败条件</w:t>
            </w:r>
          </w:p>
        </w:tc>
      </w:tr>
      <w:tr w14:paraId="29FDF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r>
              <w:rPr/>
              <w:t>Stream sync</w:t>
            </w:r>
          </w:p>
        </w:tc>
        <w:tc>
          <w:tcPr>
            <w:tcW w:w="4535" w:type="dxa"/>
            <w:tcMar>
              <w:top w:w="70" w:type="dxa"/>
              <w:left w:w="80" w:type="dxa"/>
              <w:bottom w:w="70" w:type="dxa"/>
              <w:right w:w="80" w:type="dxa"/>
            </w:tcMar>
            <w:vAlign w:val="center"/>
          </w:tcPr>
          <w:p>
            <w:r>
              <w:rPr/>
              <w:t>目标 stream 在同步前按序提交的请求内语义前驱，包括 sync 入口前已完成者及可观察传递前驱</w:t>
            </w:r>
          </w:p>
        </w:tc>
        <w:tc>
          <w:tcPr>
            <w:tcW w:w="3402" w:type="dxa"/>
            <w:tcMar>
              <w:top w:w="70" w:type="dxa"/>
              <w:left w:w="80" w:type="dxa"/>
              <w:bottom w:w="70" w:type="dxa"/>
              <w:right w:w="80" w:type="dxa"/>
            </w:tcMar>
            <w:vAlign w:val="center"/>
          </w:tcPr>
          <w:p>
            <w:r>
              <w:rPr/>
              <w:t>缺 stream/context、提交顺序、default-stream 或 closure 证据</w:t>
            </w:r>
          </w:p>
        </w:tc>
      </w:tr>
      <w:tr w14:paraId="7C8B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8FAFC"/>
            <w:tcMar>
              <w:top w:w="70" w:type="dxa"/>
              <w:left w:w="80" w:type="dxa"/>
              <w:bottom w:w="70" w:type="dxa"/>
              <w:right w:w="80" w:type="dxa"/>
            </w:tcMar>
            <w:vAlign w:val="center"/>
          </w:tcPr>
          <w:p>
            <w:r>
              <w:rPr/>
              <w:t>Device/context sync</w:t>
            </w:r>
          </w:p>
        </w:tc>
        <w:tc>
          <w:tcPr>
            <w:tcW w:w="4535" w:type="dxa"/>
            <w:shd w:val="clear" w:color="auto" w:fill="F8FAFC"/>
            <w:tcMar>
              <w:top w:w="70" w:type="dxa"/>
              <w:left w:w="80" w:type="dxa"/>
              <w:bottom w:w="70" w:type="dxa"/>
              <w:right w:w="80" w:type="dxa"/>
            </w:tcMar>
            <w:vAlign w:val="center"/>
          </w:tcPr>
          <w:p>
            <w:r>
              <w:rPr/>
              <w:t>owned device/context 中同步前提交且属于请求范围的语义前驱，包括已经完成的成员</w:t>
            </w:r>
          </w:p>
        </w:tc>
        <w:tc>
          <w:tcPr>
            <w:tcW w:w="3402" w:type="dxa"/>
            <w:shd w:val="clear" w:color="auto" w:fill="F8FAFC"/>
            <w:tcMar>
              <w:top w:w="70" w:type="dxa"/>
              <w:left w:w="80" w:type="dxa"/>
              <w:bottom w:w="70" w:type="dxa"/>
              <w:right w:w="80" w:type="dxa"/>
            </w:tcMar>
            <w:vAlign w:val="center"/>
          </w:tcPr>
          <w:p>
            <w:r>
              <w:rPr/>
              <w:t>context/ownership 不唯一或存在无法排除的外部 workload</w:t>
            </w:r>
          </w:p>
        </w:tc>
      </w:tr>
      <w:tr w14:paraId="4B5ED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r>
              <w:rPr/>
              <w:t>Event sync</w:t>
            </w:r>
          </w:p>
        </w:tc>
        <w:tc>
          <w:tcPr>
            <w:tcW w:w="4535" w:type="dxa"/>
            <w:tcMar>
              <w:top w:w="70" w:type="dxa"/>
              <w:left w:w="80" w:type="dxa"/>
              <w:bottom w:w="70" w:type="dxa"/>
              <w:right w:w="80" w:type="dxa"/>
            </w:tcMar>
            <w:vAlign w:val="center"/>
          </w:tcPr>
          <w:p>
            <w:r>
              <w:rPr/>
              <w:t>event record boundary 所代表的提交前缀及可观察传递前驱，不含 record 后活动</w:t>
            </w:r>
          </w:p>
        </w:tc>
        <w:tc>
          <w:tcPr>
            <w:tcW w:w="3402" w:type="dxa"/>
            <w:tcMar>
              <w:top w:w="70" w:type="dxa"/>
              <w:left w:w="80" w:type="dxa"/>
              <w:bottom w:w="70" w:type="dxa"/>
              <w:right w:w="80" w:type="dxa"/>
            </w:tcMar>
            <w:vAlign w:val="center"/>
          </w:tcPr>
          <w:p>
            <w:r>
              <w:rPr/>
              <w:t>event record、event ID 或 wait mapping 不可恢复</w:t>
            </w:r>
          </w:p>
        </w:tc>
      </w:tr>
      <w:tr w14:paraId="58173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8FAFC"/>
            <w:tcMar>
              <w:top w:w="70" w:type="dxa"/>
              <w:left w:w="80" w:type="dxa"/>
              <w:bottom w:w="70" w:type="dxa"/>
              <w:right w:w="80" w:type="dxa"/>
            </w:tcMar>
            <w:vAlign w:val="center"/>
          </w:tcPr>
          <w:p>
            <w:r>
              <w:rPr/>
              <w:t>未知或隐式 sync</w:t>
            </w:r>
          </w:p>
        </w:tc>
        <w:tc>
          <w:tcPr>
            <w:tcW w:w="4535" w:type="dxa"/>
            <w:shd w:val="clear" w:color="auto" w:fill="F8FAFC"/>
            <w:tcMar>
              <w:top w:w="70" w:type="dxa"/>
              <w:left w:w="80" w:type="dxa"/>
              <w:bottom w:w="70" w:type="dxa"/>
              <w:right w:w="80" w:type="dxa"/>
            </w:tcMar>
            <w:vAlign w:val="center"/>
          </w:tcPr>
          <w:p>
            <w:r>
              <w:rPr/>
              <w:t>只有 registry 明确其 completion semantics 与必需 identity 时才构造</w:t>
            </w:r>
          </w:p>
        </w:tc>
        <w:tc>
          <w:tcPr>
            <w:tcW w:w="3402" w:type="dxa"/>
            <w:shd w:val="clear" w:color="auto" w:fill="F8FAFC"/>
            <w:tcMar>
              <w:top w:w="70" w:type="dxa"/>
              <w:left w:w="80" w:type="dxa"/>
              <w:bottom w:w="70" w:type="dxa"/>
              <w:right w:w="80" w:type="dxa"/>
            </w:tcMar>
            <w:vAlign w:val="center"/>
          </w:tcPr>
          <w:p>
            <w:r>
              <w:rPr/>
              <w:t>否则 unsupported/ambiguous/invalid 并 fail closed</w:t>
            </w:r>
          </w:p>
        </w:tc>
      </w:tr>
    </w:tbl>
    <w:p w14:paraId="68F524A2">
      <w:pPr>
        <w:spacing w:after="20"/>
        <w:rPr>
          <w:rFonts w:ascii="Times New Roman" w:hAnsi="Times New Roman" w:eastAsia="宋体"/>
        </w:rPr>
      </w:pPr>
    </w:p>
    <w:p w14:paraId="767215FC">
      <w:pPr>
        <w:rPr>
          <w:rFonts w:ascii="Times New Roman" w:hAnsi="Times New Roman" w:eastAsia="宋体"/>
        </w:rPr>
      </w:pPr>
      <w:r>
        <w:rPr>
          <w:rFonts w:ascii="Times New Roman" w:hAnsi="Times New Roman" w:eastAsia="宋体"/>
          <w:color w:val="000000"/>
        </w:rPr>
        <w:t>S 的最小产物包括 completion_scope、W(s)、terminal evidence、validity、reason code、ownership 和 supported-sync coverage。W(s) 包含同步入口前已经完成但仍属于语义前驱的活动；证据不足、映射冲突或 terminal 不唯一时必须 fail closed。</w:t>
      </w:r>
    </w:p>
    <w:p w14:paraId="200C442B">
      <w:pPr>
        <w:pStyle w:val="5"/>
        <w:rPr>
          <w:rFonts w:ascii="Times New Roman" w:hAnsi="Times New Roman" w:eastAsia="宋体"/>
          <w:highlight w:val="none"/>
        </w:rPr>
      </w:pPr>
      <w:r>
        <w:rPr>
          <w:rFonts w:ascii="Times New Roman" w:hAnsi="Times New Roman" w:eastAsia="宋体"/>
          <w:color w:val="000000"/>
        </w:rPr>
        <w:t>2.3.1 单 GPU条件下的支持边界与覆盖率</w:t>
      </w:r>
    </w:p>
    <w:p w14:paraId="26733AAF">
      <w:pPr>
        <w:rPr>
          <w:rFonts w:ascii="Times New Roman" w:hAnsi="Times New Roman" w:eastAsia="宋体"/>
          <w:highlight w:val="none"/>
        </w:rPr>
      </w:pPr>
      <w:r>
        <w:rPr>
          <w:rFonts w:ascii="Times New Roman" w:hAnsi="Times New Roman" w:eastAsia="宋体"/>
          <w:b w:val="0"/>
          <w:color w:val="000000"/>
        </w:rPr>
        <w:t>单 GPU 只排除了跨设备通信，并不会消除多 stream、多 Host 线程或 event/context 语义。Pilot 阶段允许 sync_semantics_registry 以 v0.x 版本演进，逐项补齐 CUDA Runtime/Driver API 名称、stream/device/event 类型、必需字段、默认流假设和标准化 invalid_reason；正式 Protocol Freeze 时发布 v1.0 并绑定 analyzer commit。正式采集后若需修正语义，必须生成新 registry/analyzer 版本、重新通过 qualification，并对全部受影响 trace 统一重算或重采，禁止在同一主分析中混用不同 registry 版本。</w:t>
      </w:r>
    </w:p>
    <w:p w14:paraId="50309D20">
      <w:pPr>
        <w:pStyle w:val="167"/>
        <w:rPr>
          <w:rFonts w:ascii="Times New Roman" w:hAnsi="Times New Roman" w:eastAsia="宋体"/>
          <w:highlight w:val="none"/>
        </w:rPr>
      </w:pPr>
      <w:r>
        <w:rPr>
          <w:rFonts w:ascii="Times New Roman" w:hAnsi="Times New Roman" w:eastAsia="宋体"/>
          <w:color w:val="000000"/>
        </w:rPr>
        <w:t>除 B_valid_coverage 外，正式结果同时报告 supported_sync_count_coverage_pct 与 supported_sync_duration_coverage_pct，分母均为阶段内全部 physical blocking sync。unsupported 与证据不足记录保留原始事实并进入 A_unattributed/B invalid，不以近似 wait set 替代。</w:t>
      </w:r>
    </w:p>
    <w:p w14:paraId="7921575A">
      <w:pPr>
        <w:pStyle w:val="168"/>
        <w:rPr>
          <w:rFonts w:ascii="Times New Roman" w:hAnsi="Times New Roman" w:eastAsia="宋体"/>
          <w:highlight w:val="none"/>
        </w:rPr>
      </w:pPr>
      <w:r>
        <w:rPr>
          <w:rFonts w:ascii="Times New Roman" w:hAnsi="Times New Roman" w:eastAsia="宋体"/>
          <w:color w:val="000000"/>
        </w:rPr>
        <w:t>Device/context sync 在当前单卡边界下仅纳入同一被测 CUDA context 的活动；正式运行要求选定 GPU 上不存在其他 CUDA workload。若 trace 显示多 context 且 ownership 无法唯一恢复，则相关时间 fail closed。</w:t>
      </w:r>
    </w:p>
    <w:p w14:paraId="013F77A6">
      <w:pPr>
        <w:pStyle w:val="5"/>
        <w:rPr>
          <w:rFonts w:ascii="Times New Roman" w:hAnsi="Times New Roman" w:eastAsia="宋体"/>
          <w:color w:val="auto"/>
        </w:rPr>
      </w:pPr>
      <w:r>
        <w:rPr>
          <w:rFonts w:ascii="Times New Roman" w:hAnsi="Times New Roman" w:eastAsia="宋体"/>
          <w:b w:val="0"/>
          <w:i w:val="0"/>
          <w:color w:val="000000"/>
        </w:rPr>
        <w:t>2.3.2 Trace observation model 与 submitted 的操作定义</w:t>
      </w:r>
    </w:p>
    <w:p w14:paraId="59D69E84">
      <w:pPr>
        <w:rPr>
          <w:rFonts w:ascii="Times New Roman" w:hAnsi="Times New Roman" w:eastAsia="宋体"/>
          <w:color w:val="auto"/>
        </w:rPr>
      </w:pPr>
      <w:r>
        <w:rPr>
          <w:rFonts w:ascii="Times New Roman" w:hAnsi="Times New Roman" w:eastAsia="宋体"/>
          <w:b w:val="0"/>
          <w:i w:val="0"/>
          <w:color w:val="000000"/>
        </w:rPr>
        <w:t>S 层只使用 trace 中可审计的事实，不把“CUDA API 已返回”“activity 已开始”或“correlation 已出现”任意等同于硬件已接收命令。本文中的 submitted 是操作性术语：表示某 GPU activity 在 sync.start 前已经被证明进入 CUDA 可排序的 stream/event 执行域。</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3732"/>
        <w:gridCol w:w="3220"/>
      </w:tblGrid>
      <w:tr w14:paraId="79791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70" w:type="dxa"/>
            <w:shd w:val="clear" w:color="auto" w:fill="DDEBF7"/>
            <w:vAlign w:val="center"/>
          </w:tcPr>
          <w:p w14:paraId="191428AA">
            <w:pPr>
              <w:snapToGrid w:val="0"/>
              <w:spacing w:line="240" w:lineRule="auto"/>
              <w:ind w:left="0" w:leftChars="0" w:right="0" w:rightChars="0" w:firstLine="0" w:firstLineChars="0"/>
              <w:jc w:val="center"/>
              <w:rPr>
                <w:rFonts w:ascii="Times New Roman" w:hAnsi="Times New Roman" w:eastAsia="宋体"/>
                <w:b/>
                <w:color w:val="auto"/>
              </w:rPr>
            </w:pPr>
            <w:r>
              <w:rPr>
                <w:rFonts w:ascii="Times New Roman" w:hAnsi="Times New Roman" w:eastAsia="宋体"/>
                <w:b/>
                <w:color w:val="auto"/>
              </w:rPr>
              <w:t>对象</w:t>
            </w:r>
          </w:p>
        </w:tc>
        <w:tc>
          <w:tcPr>
            <w:tcW w:w="3732" w:type="dxa"/>
            <w:shd w:val="clear" w:color="auto" w:fill="DDEBF7"/>
            <w:vAlign w:val="center"/>
          </w:tcPr>
          <w:p w14:paraId="0C979A6F">
            <w:pPr>
              <w:snapToGrid w:val="0"/>
              <w:spacing w:line="240" w:lineRule="auto"/>
              <w:ind w:left="0" w:leftChars="0" w:right="0" w:rightChars="0" w:firstLine="0" w:firstLineChars="0"/>
              <w:jc w:val="center"/>
              <w:rPr>
                <w:rFonts w:ascii="Times New Roman" w:hAnsi="Times New Roman" w:eastAsia="宋体"/>
                <w:b/>
                <w:color w:val="auto"/>
              </w:rPr>
            </w:pPr>
            <w:r>
              <w:rPr>
                <w:rFonts w:ascii="Times New Roman" w:hAnsi="Times New Roman" w:eastAsia="宋体"/>
                <w:b/>
                <w:color w:val="auto"/>
              </w:rPr>
              <w:t>最小必需事实</w:t>
            </w:r>
          </w:p>
        </w:tc>
        <w:tc>
          <w:tcPr>
            <w:tcW w:w="3220" w:type="dxa"/>
            <w:shd w:val="clear" w:color="auto" w:fill="DDEBF7"/>
            <w:vAlign w:val="center"/>
          </w:tcPr>
          <w:p w14:paraId="70295D18">
            <w:pPr>
              <w:snapToGrid w:val="0"/>
              <w:spacing w:line="240" w:lineRule="auto"/>
              <w:ind w:left="0" w:leftChars="0" w:right="0" w:rightChars="0" w:firstLine="0" w:firstLineChars="0"/>
              <w:jc w:val="center"/>
              <w:rPr>
                <w:rFonts w:ascii="Times New Roman" w:hAnsi="Times New Roman" w:eastAsia="宋体"/>
                <w:b/>
                <w:color w:val="auto"/>
              </w:rPr>
            </w:pPr>
            <w:r>
              <w:rPr>
                <w:rFonts w:ascii="Times New Roman" w:hAnsi="Times New Roman" w:eastAsia="宋体"/>
                <w:b/>
                <w:color w:val="auto"/>
              </w:rPr>
              <w:t>缺失或歧义时的处理</w:t>
            </w:r>
          </w:p>
        </w:tc>
      </w:tr>
      <w:tr w14:paraId="2015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0" w:type="dxa"/>
            <w:vAlign w:val="center"/>
          </w:tcPr>
          <w:p w14:paraId="64B88259">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阻塞同步 API</w:t>
            </w:r>
          </w:p>
        </w:tc>
        <w:tc>
          <w:tcPr>
            <w:tcW w:w="3732" w:type="dxa"/>
            <w:vAlign w:val="center"/>
          </w:tcPr>
          <w:p w14:paraId="3C6E36CA">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API 名称、Host start/end、Host thread、device/context，以及适用的 stream/event 参数</w:t>
            </w:r>
          </w:p>
        </w:tc>
        <w:tc>
          <w:tcPr>
            <w:tcW w:w="3220" w:type="dxa"/>
            <w:vAlign w:val="center"/>
          </w:tcPr>
          <w:p w14:paraId="3070E32F">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不能唯一识别同步类别或等待域时 fail closed</w:t>
            </w:r>
          </w:p>
        </w:tc>
      </w:tr>
      <w:tr w14:paraId="61A14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0" w:type="dxa"/>
            <w:vAlign w:val="center"/>
          </w:tcPr>
          <w:p w14:paraId="686298F5">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Launch/enqueue API</w:t>
            </w:r>
          </w:p>
        </w:tc>
        <w:tc>
          <w:tcPr>
            <w:tcW w:w="3732" w:type="dxa"/>
            <w:vAlign w:val="center"/>
          </w:tcPr>
          <w:p w14:paraId="566D33CA">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Host start/end、thread、correlation、context、stream、API 分类</w:t>
            </w:r>
          </w:p>
        </w:tc>
        <w:tc>
          <w:tcPr>
            <w:tcW w:w="3220" w:type="dxa"/>
            <w:vAlign w:val="center"/>
          </w:tcPr>
          <w:p w14:paraId="76406ABD">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无法与 activity 或 invocation 对齐时标记 mapping/ownership invalid</w:t>
            </w:r>
          </w:p>
        </w:tc>
      </w:tr>
      <w:tr w14:paraId="28F9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0" w:type="dxa"/>
            <w:vAlign w:val="center"/>
          </w:tcPr>
          <w:p w14:paraId="52EA0BEE">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GPU activity</w:t>
            </w:r>
          </w:p>
        </w:tc>
        <w:tc>
          <w:tcPr>
            <w:tcW w:w="3732" w:type="dxa"/>
            <w:vAlign w:val="center"/>
          </w:tcPr>
          <w:p w14:paraId="134ECB00">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activity ID、kernel/MemOp 类型、GPU start/end、stream、context、correlation</w:t>
            </w:r>
          </w:p>
        </w:tc>
        <w:tc>
          <w:tcPr>
            <w:tcW w:w="3220" w:type="dxa"/>
            <w:vAlign w:val="center"/>
          </w:tcPr>
          <w:p w14:paraId="7763D8E7">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缺失关键 identity/order 字段时不构造近似 wait set</w:t>
            </w:r>
          </w:p>
        </w:tc>
      </w:tr>
      <w:tr w14:paraId="76AC8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0" w:type="dxa"/>
            <w:vAlign w:val="center"/>
          </w:tcPr>
          <w:p w14:paraId="3FFBCC8B">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Event 关系</w:t>
            </w:r>
          </w:p>
        </w:tc>
        <w:tc>
          <w:tcPr>
            <w:tcW w:w="3732" w:type="dxa"/>
            <w:vAlign w:val="center"/>
          </w:tcPr>
          <w:p w14:paraId="69782255">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event ID、record API、record stream/context、record 顺序、wait API</w:t>
            </w:r>
          </w:p>
        </w:tc>
        <w:tc>
          <w:tcPr>
            <w:tcW w:w="3220" w:type="dxa"/>
            <w:vAlign w:val="center"/>
          </w:tcPr>
          <w:p w14:paraId="60879C98">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record 或 wait 映射不完整时 dependency closure invalid</w:t>
            </w:r>
          </w:p>
        </w:tc>
      </w:tr>
      <w:tr w14:paraId="0833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0" w:type="dxa"/>
            <w:vAlign w:val="center"/>
          </w:tcPr>
          <w:p w14:paraId="1E2A76C1">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Invocation/phase</w:t>
            </w:r>
          </w:p>
        </w:tc>
        <w:tc>
          <w:tcPr>
            <w:tcW w:w="3732" w:type="dxa"/>
            <w:vAlign w:val="center"/>
          </w:tcPr>
          <w:p w14:paraId="584DDB97">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request ID、NVTX 半开区间、owner thread/callsite</w:t>
            </w:r>
          </w:p>
        </w:tc>
        <w:tc>
          <w:tcPr>
            <w:tcW w:w="3220" w:type="dxa"/>
            <w:vAlign w:val="center"/>
          </w:tcPr>
          <w:p w14:paraId="5BCD91AE">
            <w:pPr>
              <w:snapToGrid w:val="0"/>
              <w:spacing w:line="240" w:lineRule="auto"/>
              <w:ind w:left="0" w:leftChars="0" w:right="0" w:rightChars="0" w:firstLine="0" w:firstLineChars="0"/>
              <w:jc w:val="left"/>
              <w:rPr>
                <w:rFonts w:ascii="Times New Roman" w:hAnsi="Times New Roman" w:eastAsia="宋体"/>
                <w:color w:val="auto"/>
                <w:sz w:val="18"/>
                <w:szCs w:val="21"/>
              </w:rPr>
            </w:pPr>
            <w:r>
              <w:rPr>
                <w:rFonts w:ascii="Times New Roman" w:hAnsi="Times New Roman" w:eastAsia="宋体"/>
                <w:b w:val="0"/>
                <w:color w:val="auto"/>
                <w:sz w:val="18"/>
                <w:szCs w:val="21"/>
              </w:rPr>
              <w:t>边界或 owner 不唯一时进入 A_unattributed/B invalid</w:t>
            </w:r>
          </w:p>
        </w:tc>
      </w:tr>
    </w:tbl>
    <w:p w14:paraId="25D9A178">
      <w:pPr>
        <w:pStyle w:val="169"/>
        <w:rPr>
          <w:rFonts w:ascii="Times New Roman" w:hAnsi="Times New Roman" w:eastAsia="宋体"/>
          <w:color w:val="auto"/>
        </w:rPr>
      </w:pPr>
      <w:r>
        <w:rPr>
          <w:rFonts w:ascii="Times New Roman" w:hAnsi="Times New Roman" w:eastAsia="宋体"/>
          <w:b w:val="0"/>
          <w:i w:val="0"/>
          <w:color w:val="000000"/>
        </w:rPr>
        <w:t>submission_proven(e,s) := [e.gpu_start &lt; s.host_start] OR [correlated_enqueue_api.host_end ≤ s.host_start]。该规则证明的是“进入可排序域”，不是命令到达硬件队列的物理时刻。</w:t>
      </w:r>
    </w:p>
    <w:p w14:paraId="77626B27">
      <w:pPr>
        <w:pStyle w:val="168"/>
        <w:rPr>
          <w:rFonts w:ascii="Times New Roman" w:hAnsi="Times New Roman" w:eastAsia="宋体"/>
          <w:color w:val="auto"/>
        </w:rPr>
      </w:pPr>
      <w:r>
        <w:rPr>
          <w:rFonts w:ascii="Times New Roman" w:hAnsi="Times New Roman" w:eastAsia="宋体"/>
          <w:b w:val="0"/>
          <w:i w:val="0"/>
          <w:color w:val="000000"/>
        </w:rPr>
        <w:t>若 enqueue API 与 sync.start 重叠、activity 尚未开始，且 trace 没有更强的提交顺序事实，则输出 SUBMISSION_ORDER_AMBIGUOUS；不得使用 enqueue API start、经验阈值或同一 correlation 的存在性猜测成员资格。该操作定义须由 Q0 多 Host 线程案例验证，并允许在 Pilot 后以新 registry 版本收紧，但不得在正式主分析中混用版本。</w:t>
      </w:r>
    </w:p>
    <w:p w14:paraId="196DF1B7">
      <w:pPr>
        <w:pStyle w:val="5"/>
        <w:rPr>
          <w:rFonts w:ascii="Times New Roman" w:hAnsi="Times New Roman" w:eastAsia="宋体"/>
          <w:color w:val="auto"/>
        </w:rPr>
      </w:pPr>
      <w:r>
        <w:rPr>
          <w:rFonts w:ascii="Times New Roman" w:hAnsi="Times New Roman" w:eastAsia="宋体"/>
          <w:b w:val="0"/>
          <w:i w:val="0"/>
          <w:color w:val="000000"/>
        </w:rPr>
        <w:t>2.3.3 Physical blocking sync universe 与支持矩阵</w:t>
      </w:r>
    </w:p>
    <w:p w14:paraId="3945E947">
      <w:pPr>
        <w:rPr>
          <w:rFonts w:ascii="Times New Roman" w:hAnsi="Times New Roman" w:eastAsia="宋体"/>
          <w:color w:val="auto"/>
        </w:rPr>
      </w:pPr>
      <w:r>
        <w:rPr>
          <w:rFonts w:ascii="Times New Roman" w:hAnsi="Times New Roman" w:eastAsia="宋体"/>
          <w:b w:val="0"/>
          <w:i w:val="0"/>
          <w:color w:val="000000"/>
        </w:rPr>
        <w:t>supported_sync_count/duration coverage 的分母由 physical blocking sync universe 决定。该 universe 包含在当前运行语义下可能阻塞 Host 直至某个 CUDA 完成条件成立的 Runtime/Driver API；非阻塞 query、异步 launch/enqueue 不因名称中含 event/stream 即自动视为同步。精确 API alias、版本与字段映射由 sync_semantics_registry 绑定。</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2225"/>
        <w:gridCol w:w="1246"/>
        <w:gridCol w:w="3532"/>
      </w:tblGrid>
      <w:tr w14:paraId="4BD0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DEBF7"/>
            <w:vAlign w:val="center"/>
          </w:tcPr>
          <w:p w14:paraId="481632C8">
            <w:pPr>
              <w:snapToGrid w:val="0"/>
              <w:spacing w:line="240" w:lineRule="auto"/>
              <w:ind w:left="0" w:leftChars="0" w:right="0" w:rightChars="0" w:firstLine="0" w:firstLineChars="0"/>
              <w:jc w:val="center"/>
              <w:rPr>
                <w:rFonts w:ascii="Times New Roman" w:hAnsi="Times New Roman" w:eastAsia="宋体"/>
                <w:b/>
                <w:color w:val="auto"/>
              </w:rPr>
            </w:pPr>
            <w:r>
              <w:rPr>
                <w:rFonts w:ascii="Times New Roman" w:hAnsi="Times New Roman" w:eastAsia="宋体"/>
                <w:b/>
                <w:color w:val="auto"/>
              </w:rPr>
              <w:t>类别</w:t>
            </w:r>
          </w:p>
        </w:tc>
        <w:tc>
          <w:tcPr>
            <w:tcW w:w="0" w:type="auto"/>
            <w:shd w:val="clear" w:color="auto" w:fill="DDEBF7"/>
            <w:vAlign w:val="center"/>
          </w:tcPr>
          <w:p w14:paraId="00D31C59">
            <w:pPr>
              <w:snapToGrid w:val="0"/>
              <w:spacing w:line="240" w:lineRule="auto"/>
              <w:ind w:left="0" w:leftChars="0" w:right="0" w:rightChars="0" w:firstLine="0" w:firstLineChars="0"/>
              <w:jc w:val="center"/>
              <w:rPr>
                <w:rFonts w:ascii="Times New Roman" w:hAnsi="Times New Roman" w:eastAsia="宋体"/>
                <w:b/>
                <w:color w:val="auto"/>
              </w:rPr>
            </w:pPr>
            <w:r>
              <w:rPr>
                <w:rFonts w:ascii="Times New Roman" w:hAnsi="Times New Roman" w:eastAsia="宋体"/>
                <w:b/>
                <w:color w:val="auto"/>
              </w:rPr>
              <w:t>代表性API/结构</w:t>
            </w:r>
          </w:p>
        </w:tc>
        <w:tc>
          <w:tcPr>
            <w:tcW w:w="0" w:type="auto"/>
            <w:shd w:val="clear" w:color="auto" w:fill="DDEBF7"/>
            <w:vAlign w:val="center"/>
          </w:tcPr>
          <w:p w14:paraId="7CE9BB80">
            <w:pPr>
              <w:snapToGrid w:val="0"/>
              <w:spacing w:line="240" w:lineRule="auto"/>
              <w:ind w:left="0" w:leftChars="0" w:right="0" w:rightChars="0" w:firstLine="0" w:firstLineChars="0"/>
              <w:jc w:val="center"/>
              <w:rPr>
                <w:rFonts w:ascii="Times New Roman" w:hAnsi="Times New Roman" w:eastAsia="宋体"/>
                <w:b/>
                <w:color w:val="auto"/>
              </w:rPr>
            </w:pPr>
            <w:r>
              <w:rPr>
                <w:rFonts w:ascii="Times New Roman" w:hAnsi="Times New Roman" w:eastAsia="宋体"/>
                <w:b/>
                <w:color w:val="auto"/>
              </w:rPr>
              <w:t>v0.x处理</w:t>
            </w:r>
          </w:p>
        </w:tc>
        <w:tc>
          <w:tcPr>
            <w:tcW w:w="3532" w:type="dxa"/>
            <w:shd w:val="clear" w:color="auto" w:fill="DDEBF7"/>
            <w:vAlign w:val="center"/>
          </w:tcPr>
          <w:p w14:paraId="7E3D955C">
            <w:pPr>
              <w:snapToGrid w:val="0"/>
              <w:spacing w:line="240" w:lineRule="auto"/>
              <w:ind w:left="0" w:leftChars="0" w:right="0" w:rightChars="0" w:firstLine="0" w:firstLineChars="0"/>
              <w:jc w:val="center"/>
              <w:rPr>
                <w:rFonts w:ascii="Times New Roman" w:hAnsi="Times New Roman" w:eastAsia="宋体"/>
                <w:b/>
                <w:color w:val="auto"/>
              </w:rPr>
            </w:pPr>
            <w:r>
              <w:rPr>
                <w:rFonts w:ascii="Times New Roman" w:hAnsi="Times New Roman" w:eastAsia="宋体"/>
                <w:b/>
                <w:color w:val="auto"/>
              </w:rPr>
              <w:t>等待语义与失败边界</w:t>
            </w:r>
          </w:p>
        </w:tc>
      </w:tr>
      <w:tr w14:paraId="709B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B8CCE96">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Stream synchronization</w:t>
            </w:r>
          </w:p>
        </w:tc>
        <w:tc>
          <w:tcPr>
            <w:tcW w:w="0" w:type="auto"/>
            <w:vAlign w:val="center"/>
          </w:tcPr>
          <w:p w14:paraId="32E51D33">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cudaStreamSynchronize / cuStreamSynchronize</w:t>
            </w:r>
          </w:p>
        </w:tc>
        <w:tc>
          <w:tcPr>
            <w:tcW w:w="0" w:type="auto"/>
            <w:vAlign w:val="center"/>
          </w:tcPr>
          <w:p w14:paraId="5B22EE55">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核心支持</w:t>
            </w:r>
          </w:p>
        </w:tc>
        <w:tc>
          <w:tcPr>
            <w:tcW w:w="3532" w:type="dxa"/>
            <w:vAlign w:val="center"/>
          </w:tcPr>
          <w:p w14:paraId="49E5AC7E">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目标 stream 的可观察依赖闭包；stream/context/default-stream 模式不清时 invalid</w:t>
            </w:r>
          </w:p>
        </w:tc>
      </w:tr>
      <w:tr w14:paraId="74D3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E606646">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Device/context synchronization</w:t>
            </w:r>
          </w:p>
        </w:tc>
        <w:tc>
          <w:tcPr>
            <w:tcW w:w="0" w:type="auto"/>
            <w:vAlign w:val="center"/>
          </w:tcPr>
          <w:p w14:paraId="10AD37D2">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cudaDeviceSynchronize / cuCtxSynchronize</w:t>
            </w:r>
          </w:p>
        </w:tc>
        <w:tc>
          <w:tcPr>
            <w:tcW w:w="0" w:type="auto"/>
            <w:vAlign w:val="center"/>
          </w:tcPr>
          <w:p w14:paraId="405C2F2D">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核心支持</w:t>
            </w:r>
          </w:p>
        </w:tc>
        <w:tc>
          <w:tcPr>
            <w:tcW w:w="3532" w:type="dxa"/>
            <w:vAlign w:val="center"/>
          </w:tcPr>
          <w:p>
            <w:r>
              <w:rPr/>
              <w:t>被测 owned context 中同步前已证明 submitted 的请求内语义前驱；成员是否在 sync.start 前完成只影响 hidden/exposed，不影响 W(s) 成员资格</w:t>
            </w:r>
          </w:p>
        </w:tc>
      </w:tr>
      <w:tr w14:paraId="1E9A6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8FE77FC">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Event synchronization</w:t>
            </w:r>
          </w:p>
        </w:tc>
        <w:tc>
          <w:tcPr>
            <w:tcW w:w="0" w:type="auto"/>
            <w:vAlign w:val="center"/>
          </w:tcPr>
          <w:p w14:paraId="0D80D992">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cudaEventSynchronize / cuEventSynchronize</w:t>
            </w:r>
          </w:p>
        </w:tc>
        <w:tc>
          <w:tcPr>
            <w:tcW w:w="0" w:type="auto"/>
            <w:vAlign w:val="center"/>
          </w:tcPr>
          <w:p w14:paraId="6A903694">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核心支持</w:t>
            </w:r>
          </w:p>
        </w:tc>
        <w:tc>
          <w:tcPr>
            <w:tcW w:w="3532" w:type="dxa"/>
            <w:vAlign w:val="center"/>
          </w:tcPr>
          <w:p w14:paraId="55FBF0B0">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event record 节点的可观察前驱闭包；不自动纳入 record 后 activity</w:t>
            </w:r>
          </w:p>
        </w:tc>
      </w:tr>
      <w:tr w14:paraId="395E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39AE82D">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同步 copy 或隐式阻塞 API</w:t>
            </w:r>
          </w:p>
        </w:tc>
        <w:tc>
          <w:tcPr>
            <w:tcW w:w="0" w:type="auto"/>
            <w:vAlign w:val="center"/>
          </w:tcPr>
          <w:p w14:paraId="655F4A6B">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同步 D2H copy、资源释放/运行时内部阻塞等</w:t>
            </w:r>
          </w:p>
        </w:tc>
        <w:tc>
          <w:tcPr>
            <w:tcW w:w="0" w:type="auto"/>
            <w:vAlign w:val="center"/>
          </w:tcPr>
          <w:p w14:paraId="4CAA3737">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纳入 universe；初版可 unsupported</w:t>
            </w:r>
          </w:p>
        </w:tc>
        <w:tc>
          <w:tcPr>
            <w:tcW w:w="3532" w:type="dxa"/>
            <w:vAlign w:val="center"/>
          </w:tcPr>
          <w:p w14:paraId="45D03F9C">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不能证明等待域时完整同步区间进入 A_unattributed，不按普通非阻塞 API 归类</w:t>
            </w:r>
          </w:p>
        </w:tc>
      </w:tr>
      <w:tr w14:paraId="2572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A8432B8">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Query/poll 与异步提交</w:t>
            </w:r>
          </w:p>
        </w:tc>
        <w:tc>
          <w:tcPr>
            <w:tcW w:w="0" w:type="auto"/>
            <w:vAlign w:val="center"/>
          </w:tcPr>
          <w:p w14:paraId="6AC2D58A">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event query、stream query、kernel/graph launch、async copy</w:t>
            </w:r>
          </w:p>
        </w:tc>
        <w:tc>
          <w:tcPr>
            <w:tcW w:w="0" w:type="auto"/>
            <w:vAlign w:val="center"/>
          </w:tcPr>
          <w:p w14:paraId="504A4E82">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不自动建立 wait set</w:t>
            </w:r>
          </w:p>
        </w:tc>
        <w:tc>
          <w:tcPr>
            <w:tcW w:w="3532" w:type="dxa"/>
            <w:vAlign w:val="center"/>
          </w:tcPr>
          <w:p w14:paraId="52108473">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作为 submit/non-submit API 事实保留；只有实际阻塞且 registry 明确时进入 sync universe</w:t>
            </w:r>
          </w:p>
        </w:tc>
      </w:tr>
      <w:tr w14:paraId="429ED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9" w:type="dxa"/>
            <w:vAlign w:val="center"/>
          </w:tcPr>
          <w:p w14:paraId="677AAC7C">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Graph 相关等待</w:t>
            </w:r>
          </w:p>
        </w:tc>
        <w:tc>
          <w:tcPr>
            <w:tcW w:w="2225" w:type="dxa"/>
            <w:vAlign w:val="center"/>
          </w:tcPr>
          <w:p w14:paraId="46B750BD">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graph launch 后由 stream/device/event sync 暴露的等待</w:t>
            </w:r>
          </w:p>
        </w:tc>
        <w:tc>
          <w:tcPr>
            <w:tcW w:w="1246" w:type="dxa"/>
            <w:vAlign w:val="center"/>
          </w:tcPr>
          <w:p w14:paraId="0BE85232">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按最终 sync 语义处理</w:t>
            </w:r>
          </w:p>
        </w:tc>
        <w:tc>
          <w:tcPr>
            <w:tcW w:w="3532" w:type="dxa"/>
            <w:vAlign w:val="center"/>
          </w:tcPr>
          <w:p w14:paraId="205E8743">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graph 内映射不足导致 closure 不可恢复时 GRAPH_MAPPING_UNSUPPORTED</w:t>
            </w:r>
          </w:p>
        </w:tc>
      </w:tr>
    </w:tbl>
    <w:p w14:paraId="20B08374">
      <w:pPr>
        <w:pStyle w:val="167"/>
        <w:rPr>
          <w:rFonts w:ascii="Times New Roman" w:hAnsi="Times New Roman" w:eastAsia="宋体"/>
          <w:color w:val="auto"/>
        </w:rPr>
      </w:pPr>
      <w:r>
        <w:rPr>
          <w:rFonts w:ascii="Times New Roman" w:hAnsi="Times New Roman" w:eastAsia="宋体"/>
          <w:b w:val="0"/>
          <w:i w:val="0"/>
          <w:color w:val="000000"/>
        </w:rPr>
        <w:t>初版允许“不支持但透明”，不允许“未枚举却按普通 CUDA API 处理”。每条 physical blocking sync 必须输出 sync_universe_class、registry_rule_id 和 supported/unsupported/invalid 状态。</w:t>
      </w:r>
    </w:p>
    <w:p w14:paraId="1ADF400D">
      <w:pPr>
        <w:pStyle w:val="5"/>
        <w:rPr>
          <w:rFonts w:ascii="Times New Roman" w:hAnsi="Times New Roman" w:eastAsia="宋体"/>
          <w:color w:val="auto"/>
        </w:rPr>
      </w:pPr>
      <w:r>
        <w:rPr>
          <w:rFonts w:ascii="Times New Roman" w:hAnsi="Times New Roman" w:eastAsia="宋体"/>
          <w:b w:val="0"/>
          <w:i w:val="0"/>
          <w:color w:val="000000"/>
        </w:rPr>
        <w:t>2.3.4 Stream/event/default-stream dependency closure</w:t>
      </w:r>
    </w:p>
    <w:p w14:paraId="76DBB376">
      <w:pPr>
        <w:rPr>
          <w:rFonts w:ascii="Times New Roman" w:hAnsi="Times New Roman" w:eastAsia="宋体"/>
          <w:color w:val="auto"/>
        </w:rPr>
      </w:pPr>
      <w:r>
        <w:rPr>
          <w:rFonts w:ascii="Times New Roman" w:hAnsi="Times New Roman" w:eastAsia="宋体"/>
          <w:b w:val="0"/>
          <w:i w:val="0"/>
          <w:color w:val="000000"/>
        </w:rPr>
        <w:t>S 不把 stream sync 简化为 activity.stream_id == synchronized_stream_id。分析器在可观察范围内构造依赖图：同 stream 顺序边、event record 前驱边、stream-wait-event 边，以及 registry 明确支持的 default-stream 顺序边。</w:t>
      </w:r>
    </w:p>
    <w:p w14:paraId="3087D993">
      <w:pPr>
        <w:pStyle w:val="169"/>
        <w:rPr>
          <w:rFonts w:ascii="Times New Roman" w:hAnsi="Times New Roman" w:eastAsia="宋体"/>
          <w:color w:val="auto"/>
        </w:rPr>
      </w:pPr>
      <w:r>
        <w:rPr>
          <w:rFonts w:ascii="Times New Roman" w:hAnsi="Times New Roman" w:eastAsia="宋体"/>
          <w:b w:val="0"/>
          <w:i w:val="0"/>
          <w:color w:val="000000"/>
        </w:rPr>
        <w:t>Pred(s) := 同步完成条件的可观察传递前驱闭包</w:t>
      </w:r>
    </w:p>
    <w:p w14:paraId="5981E6AC">
      <w:pPr>
        <w:pStyle w:val="169"/>
        <w:rPr>
          <w:rFonts w:ascii="Times New Roman" w:hAnsi="Times New Roman" w:eastAsia="宋体"/>
          <w:color w:val="auto"/>
        </w:rPr>
      </w:pPr>
      <w:r>
        <w:rPr>
          <w:rFonts w:ascii="Times New Roman" w:hAnsi="Times New Roman" w:eastAsia="宋体"/>
          <w:b w:val="0"/>
          <w:i w:val="0"/>
          <w:color w:val="000000"/>
        </w:rPr>
        <w:t>W(s) := {e ∈ Pred_semantic(s) | submission_proven(e,s) ∧ ownership_supported(e,s)}。e.end 与 s.start 的关系用于计算 hidden/exposed 状态，不用于决定 e 是否属于 W(s)。</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368"/>
        <w:gridCol w:w="4680"/>
      </w:tblGrid>
      <w:tr w14:paraId="5A7B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74" w:type="dxa"/>
            <w:shd w:val="clear" w:color="auto" w:fill="DDEBF7"/>
            <w:vAlign w:val="center"/>
          </w:tcPr>
          <w:p>
            <w:r>
              <w:rPr/>
              <w:t>同步类别</w:t>
            </w:r>
          </w:p>
        </w:tc>
        <w:tc>
          <w:tcPr>
            <w:tcW w:w="2368" w:type="dxa"/>
            <w:shd w:val="clear" w:color="auto" w:fill="DDEBF7"/>
            <w:vAlign w:val="center"/>
          </w:tcPr>
          <w:p>
            <w:r>
              <w:rPr/>
              <w:t>Pred_semantic(s) 的规则</w:t>
            </w:r>
          </w:p>
        </w:tc>
        <w:tc>
          <w:tcPr>
            <w:tcW w:w="4680" w:type="dxa"/>
            <w:shd w:val="clear" w:color="auto" w:fill="DDEBF7"/>
            <w:vAlign w:val="center"/>
          </w:tcPr>
          <w:p>
            <w:r>
              <w:rPr/>
              <w:t>不能恢复时</w:t>
            </w:r>
          </w:p>
        </w:tc>
      </w:tr>
      <w:tr w14:paraId="2C84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74" w:type="dxa"/>
            <w:vAlign w:val="center"/>
          </w:tcPr>
          <w:p>
            <w:r>
              <w:rPr/>
              <w:t>Stream sync</w:t>
            </w:r>
          </w:p>
        </w:tc>
        <w:tc>
          <w:tcPr>
            <w:tcW w:w="2368" w:type="dxa"/>
            <w:vAlign w:val="center"/>
          </w:tcPr>
          <w:p>
            <w:r>
              <w:rPr/>
              <w:t>目标 stream 在同步前进入排序域的全部请求内工作，以及通过可观察 event/default-stream 关系依赖的传递前驱</w:t>
            </w:r>
          </w:p>
        </w:tc>
        <w:tc>
          <w:tcPr>
            <w:tcW w:w="4680" w:type="dxa"/>
            <w:vAlign w:val="center"/>
          </w:tcPr>
          <w:p>
            <w:r>
              <w:rPr/>
              <w:t>DEPENDENCY_CLOSURE_UNOBSERVABLE</w:t>
            </w:r>
          </w:p>
        </w:tc>
      </w:tr>
      <w:tr w14:paraId="511B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74" w:type="dxa"/>
            <w:vAlign w:val="center"/>
          </w:tcPr>
          <w:p>
            <w:r>
              <w:rPr/>
              <w:t>Device/context sync</w:t>
            </w:r>
          </w:p>
        </w:tc>
        <w:tc>
          <w:tcPr>
            <w:tcW w:w="2368" w:type="dxa"/>
            <w:vAlign w:val="center"/>
          </w:tcPr>
          <w:p>
            <w:r>
              <w:rPr/>
              <w:t>owned context 内同步前已证明 submitted 的请求内工作，不以 e.end&gt;s.start 过滤</w:t>
            </w:r>
          </w:p>
        </w:tc>
        <w:tc>
          <w:tcPr>
            <w:tcW w:w="4680" w:type="dxa"/>
            <w:vAlign w:val="center"/>
          </w:tcPr>
          <w:p>
            <w:r>
              <w:rPr/>
              <w:t>MULTI_CONTEXT_OWNERSHIP_AMBIGUOUS 或缺失 context</w:t>
            </w:r>
          </w:p>
        </w:tc>
      </w:tr>
      <w:tr w14:paraId="58792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74" w:type="dxa"/>
            <w:vAlign w:val="center"/>
          </w:tcPr>
          <w:p>
            <w:r>
              <w:rPr/>
              <w:t>Event sync</w:t>
            </w:r>
          </w:p>
        </w:tc>
        <w:tc>
          <w:tcPr>
            <w:tcW w:w="2368" w:type="dxa"/>
            <w:vAlign w:val="center"/>
          </w:tcPr>
          <w:p>
            <w:r>
              <w:rPr/>
              <w:t>event record 节点所代表的提交前缀及其可观察前驱；record 后活动不属于该 event 条件</w:t>
            </w:r>
          </w:p>
        </w:tc>
        <w:tc>
          <w:tcPr>
            <w:tcW w:w="4680" w:type="dxa"/>
            <w:vAlign w:val="center"/>
          </w:tcPr>
          <w:p>
            <w:r>
              <w:rPr/>
              <w:t>MISSING_EVENT_RECORD / MISSING_EVENT_ID</w:t>
            </w:r>
          </w:p>
        </w:tc>
      </w:tr>
    </w:tbl>
    <w:p w14:paraId="6D677335">
      <w:pPr>
        <w:pStyle w:val="168"/>
        <w:rPr>
          <w:rFonts w:ascii="Times New Roman" w:hAnsi="Times New Roman" w:eastAsia="宋体"/>
          <w:color w:val="auto"/>
        </w:rPr>
      </w:pPr>
      <w:r>
        <w:rPr>
          <w:rFonts w:ascii="Times New Roman" w:hAnsi="Times New Roman" w:eastAsia="宋体"/>
          <w:b w:val="0"/>
          <w:i w:val="0"/>
          <w:color w:val="000000"/>
        </w:rPr>
        <w:t>default-stream mode 必须写入 manifest/registry（legacy、per-thread 或明确无隐式依赖）。无法判定时输出 DEFAULT_STREAM_MODE_UNKNOWN。单 GPU 假设不能替代上述多 stream/event 语义。</w:t>
      </w:r>
    </w:p>
    <w:p w14:paraId="4F07CD9A">
      <w:pPr>
        <w:pStyle w:val="5"/>
        <w:rPr>
          <w:rFonts w:ascii="Times New Roman" w:hAnsi="Times New Roman" w:eastAsia="宋体"/>
          <w:color w:val="auto"/>
        </w:rPr>
      </w:pPr>
      <w:r>
        <w:rPr>
          <w:rFonts w:ascii="Times New Roman" w:hAnsi="Times New Roman" w:eastAsia="宋体"/>
          <w:b w:val="0"/>
          <w:i w:val="0"/>
          <w:color w:val="000000"/>
        </w:rPr>
        <w:t>2.3.5 Wait-set 三态、terminal 与 B 适用状态</w:t>
      </w:r>
    </w:p>
    <w:p w14:paraId="326C4FC4">
      <w:pPr>
        <w:rPr>
          <w:rFonts w:ascii="Times New Roman" w:hAnsi="Times New Roman" w:eastAsia="宋体"/>
          <w:color w:val="auto"/>
        </w:rPr>
      </w:pPr>
      <w:r>
        <w:rPr>
          <w:rFonts w:ascii="Times New Roman" w:hAnsi="Times New Roman" w:eastAsia="宋体"/>
          <w:b w:val="0"/>
          <w:i w:val="0"/>
          <w:color w:val="000000"/>
        </w:rPr>
        <w:t>Validity 至少区分 VALID_NONEMPTY、VALID_EMPTY、AMBIGUOUS 与 INVALID。VALID_EMPTY 只表示不存在请求内、受支持且可归属的语义前驱；相关工作已在 sync.start 前完成时，W(s) 仍然非空，其执行进展记为 hidden，而不是合法空集合。</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2745"/>
        <w:gridCol w:w="2045"/>
        <w:gridCol w:w="1999"/>
      </w:tblGrid>
      <w:tr w14:paraId="23AF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DEBF7"/>
            <w:vAlign w:val="center"/>
          </w:tcPr>
          <w:p>
            <w:r>
              <w:rPr/>
              <w:t>wait_set_status</w:t>
            </w:r>
          </w:p>
        </w:tc>
        <w:tc>
          <w:tcPr>
            <w:tcW w:w="0" w:type="auto"/>
            <w:shd w:val="clear" w:color="auto" w:fill="DDEBF7"/>
            <w:vAlign w:val="center"/>
          </w:tcPr>
          <w:p>
            <w:r>
              <w:rPr/>
              <w:t>W(s)/terminal</w:t>
            </w:r>
          </w:p>
        </w:tc>
        <w:tc>
          <w:tcPr>
            <w:tcW w:w="0" w:type="auto"/>
            <w:shd w:val="clear" w:color="auto" w:fill="DDEBF7"/>
            <w:vAlign w:val="center"/>
          </w:tcPr>
          <w:p>
            <w:r>
              <w:rPr/>
              <w:t>A 处理</w:t>
            </w:r>
          </w:p>
        </w:tc>
        <w:tc>
          <w:tcPr>
            <w:tcW w:w="1999" w:type="dxa"/>
            <w:shd w:val="clear" w:color="auto" w:fill="DDEBF7"/>
            <w:vAlign w:val="center"/>
          </w:tcPr>
          <w:p>
            <w:r>
              <w:rPr/>
              <w:t>B 处理</w:t>
            </w:r>
          </w:p>
        </w:tc>
      </w:tr>
      <w:tr w14:paraId="3F1A2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VALID_NONEMPTY</w:t>
            </w:r>
          </w:p>
        </w:tc>
        <w:tc>
          <w:tcPr>
            <w:tcW w:w="0" w:type="auto"/>
            <w:vAlign w:val="center"/>
          </w:tcPr>
          <w:p>
            <w:r>
              <w:rPr/>
              <w:t>W(s) 非空；terminal 只有在 completion evidence 唯一时成立</w:t>
            </w:r>
          </w:p>
        </w:tc>
        <w:tc>
          <w:tcPr>
            <w:tcW w:w="0" w:type="auto"/>
            <w:vAlign w:val="center"/>
          </w:tcPr>
          <w:p>
            <w:r>
              <w:rPr/>
              <w:t>用 W(s) 与 sync window 的 interval union 计算 A_device_wait；其余按冻结 residual 规则</w:t>
            </w:r>
          </w:p>
        </w:tc>
        <w:tc>
          <w:tcPr>
            <w:tcW w:w="1999" w:type="dxa"/>
            <w:vAlign w:val="center"/>
          </w:tcPr>
          <w:p>
            <w:r>
              <w:rPr/>
              <w:t>terminal 唯一则 B_VALID，否则转 AMBIGUOUS/INVALID</w:t>
            </w:r>
          </w:p>
        </w:tc>
      </w:tr>
      <w:tr w14:paraId="365CF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VALID_EMPTY</w:t>
            </w:r>
          </w:p>
        </w:tc>
        <w:tc>
          <w:tcPr>
            <w:tcW w:w="0" w:type="auto"/>
            <w:vAlign w:val="center"/>
          </w:tcPr>
          <w:p>
            <w:r>
              <w:rPr/>
              <w:t>没有请求内受支持且可归属的语义前驱；terminal N/A</w:t>
            </w:r>
          </w:p>
        </w:tc>
        <w:tc>
          <w:tcPr>
            <w:tcW w:w="0" w:type="auto"/>
            <w:vAlign w:val="center"/>
          </w:tcPr>
          <w:p>
            <w:r>
              <w:rPr/>
              <w:t>A_device_wait=0；其余按冻结 residual 规则</w:t>
            </w:r>
          </w:p>
        </w:tc>
        <w:tc>
          <w:tcPr>
            <w:tcW w:w="1999" w:type="dxa"/>
            <w:vAlign w:val="center"/>
          </w:tcPr>
          <w:p>
            <w:r>
              <w:rPr/>
              <w:t>B_NOT_APPLICABLE，不伪造 terminal</w:t>
            </w:r>
          </w:p>
        </w:tc>
      </w:tr>
      <w:tr w14:paraId="2A40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33" w:type="dxa"/>
            <w:vAlign w:val="center"/>
          </w:tcPr>
          <w:p>
            <w:r>
              <w:rPr/>
              <w:t>AMBIGUOUS</w:t>
            </w:r>
          </w:p>
        </w:tc>
        <w:tc>
          <w:tcPr>
            <w:tcW w:w="2745" w:type="dxa"/>
            <w:vAlign w:val="center"/>
          </w:tcPr>
          <w:p>
            <w:r>
              <w:rPr/>
              <w:t>存在多个合理 completion/ownership/terminal 解释</w:t>
            </w:r>
          </w:p>
        </w:tc>
        <w:tc>
          <w:tcPr>
            <w:tcW w:w="2045" w:type="dxa"/>
            <w:vAlign w:val="center"/>
          </w:tcPr>
          <w:p>
            <w:r>
              <w:rPr/>
              <w:t>不转成零值或已知 device wait；进入未知/不归属处理</w:t>
            </w:r>
          </w:p>
        </w:tc>
        <w:tc>
          <w:tcPr>
            <w:tcW w:w="1999" w:type="dxa"/>
            <w:vAlign w:val="center"/>
          </w:tcPr>
          <w:p>
            <w:r>
              <w:rPr/>
              <w:t>B_AMBIGUOUS，保留候选与原因</w:t>
            </w:r>
          </w:p>
        </w:tc>
      </w:tr>
      <w:tr>
        <w:tc>
          <w:tcPr>
            <w:tcW w:type="dxa" w:w="1733"/>
          </w:tcPr>
          <w:p>
            <w:r>
              <w:rPr/>
              <w:t>INVALID</w:t>
            </w:r>
          </w:p>
        </w:tc>
        <w:tc>
          <w:tcPr>
            <w:tcW w:type="dxa" w:w="2745"/>
          </w:tcPr>
          <w:p>
            <w:r>
              <w:rPr/>
              <w:t>必需事实缺失、冲突、dropped 或不满足合同</w:t>
            </w:r>
          </w:p>
        </w:tc>
        <w:tc>
          <w:tcPr>
            <w:tcW w:type="dxa" w:w="2045"/>
          </w:tcPr>
          <w:p>
            <w:r>
              <w:rPr/>
              <w:t>相关区间进入 A_unattributed 或被排除并记录</w:t>
            </w:r>
          </w:p>
        </w:tc>
        <w:tc>
          <w:tcPr>
            <w:tcW w:type="dxa" w:w="1999"/>
          </w:tcPr>
          <w:p>
            <w:r>
              <w:rPr/>
              <w:t>B_INVALID，保留原因</w:t>
            </w:r>
          </w:p>
        </w:tc>
      </w:tr>
    </w:tbl>
    <w:p w14:paraId="7EF3E1D4">
      <w:pPr>
        <w:pStyle w:val="167"/>
        <w:rPr>
          <w:rFonts w:ascii="Times New Roman" w:hAnsi="Times New Roman" w:eastAsia="宋体"/>
          <w:color w:val="auto"/>
        </w:rPr>
      </w:pPr>
      <w:r>
        <w:rPr>
          <w:rFonts w:ascii="Times New Roman" w:hAnsi="Times New Roman" w:eastAsia="宋体"/>
          <w:b w:val="0"/>
          <w:i w:val="0"/>
          <w:color w:val="000000"/>
        </w:rPr>
        <w:t>最小输出字段必须覆盖 sync identity、completion scope、wait-set identity、terminal evidence、validity/status、ownership 与 reason codes。AMBIGUOUS 与 INVALID 不得静默转成零值；B-valid coverage、有效空集合和拒绝回答的比例分别报告。</w:t>
      </w:r>
    </w:p>
    <w:p w14:paraId="3B870BEB">
      <w:pPr>
        <w:pStyle w:val="5"/>
        <w:rPr>
          <w:rFonts w:ascii="Times New Roman" w:hAnsi="Times New Roman" w:eastAsia="宋体"/>
          <w:color w:val="auto"/>
        </w:rPr>
      </w:pPr>
      <w:r>
        <w:rPr>
          <w:rFonts w:ascii="Times New Roman" w:hAnsi="Times New Roman" w:eastAsia="宋体"/>
          <w:b w:val="0"/>
          <w:i w:val="0"/>
          <w:color w:val="000000"/>
        </w:rPr>
        <w:t>2.3.6 Request、phase 与 activity ownership</w:t>
      </w:r>
    </w:p>
    <w:p w14:paraId="29839910">
      <w:pPr>
        <w:rPr>
          <w:rFonts w:ascii="Times New Roman" w:hAnsi="Times New Roman" w:eastAsia="宋体"/>
          <w:color w:val="auto"/>
        </w:rPr>
      </w:pPr>
      <w:r>
        <w:rPr>
          <w:rFonts w:ascii="Times New Roman" w:hAnsi="Times New Roman" w:eastAsia="宋体"/>
          <w:b w:val="0"/>
          <w:i w:val="0"/>
          <w:color w:val="000000"/>
        </w:rPr>
        <w:t>区分 activity origin 与 wall-clock exposure owner。activity origin 由 correlated enqueue/launch API 所属 invocation/phase 决定；A 的墙钟归属由原子时间片落入的 request/phase 半开区间 [start,end) 决定。因此允许“Prefill-origin activity 在 Decode 窗口中的有效同步内形成 Decode A_device_wait”，但必须显式标注跨 phase 依赖。</w:t>
      </w:r>
    </w:p>
    <w:p w14:paraId="7D3E26CF">
      <w:pPr>
        <w:pStyle w:val="16"/>
        <w:rPr>
          <w:rFonts w:ascii="Times New Roman" w:hAnsi="Times New Roman" w:eastAsia="宋体"/>
          <w:color w:val="auto"/>
        </w:rPr>
      </w:pPr>
      <w:r>
        <w:rPr>
          <w:rFonts w:ascii="Times New Roman" w:hAnsi="Times New Roman" w:eastAsia="宋体"/>
          <w:b w:val="0"/>
          <w:i w:val="0"/>
          <w:color w:val="000000"/>
        </w:rPr>
        <w:t>GPU activity 跨 phase 边界时，A 只计当前窗口的区间交集，不把完整 duration 同时归给两个 phase。</w:t>
      </w:r>
    </w:p>
    <w:p w14:paraId="65B23343">
      <w:pPr>
        <w:pStyle w:val="16"/>
        <w:rPr>
          <w:rFonts w:ascii="Times New Roman" w:hAnsi="Times New Roman" w:eastAsia="宋体"/>
          <w:color w:val="auto"/>
        </w:rPr>
      </w:pPr>
      <w:r>
        <w:rPr>
          <w:rFonts w:ascii="Times New Roman" w:hAnsi="Times New Roman" w:eastAsia="宋体"/>
          <w:b w:val="0"/>
          <w:i w:val="0"/>
          <w:color w:val="000000"/>
        </w:rPr>
        <w:t>sync_owner_phase、activity_origin_phase、terminal_origin_phase 与 cross_phase_dependency 必须写入 per-sync 输出。</w:t>
      </w:r>
    </w:p>
    <w:p w14:paraId="72BDCD03">
      <w:pPr>
        <w:pStyle w:val="16"/>
        <w:rPr>
          <w:rFonts w:ascii="Times New Roman" w:hAnsi="Times New Roman" w:eastAsia="宋体"/>
          <w:color w:val="auto"/>
        </w:rPr>
      </w:pPr>
      <w:r>
        <w:rPr>
          <w:rFonts w:ascii="Times New Roman" w:hAnsi="Times New Roman" w:eastAsia="宋体"/>
          <w:b w:val="0"/>
          <w:i w:val="0"/>
          <w:color w:val="000000"/>
        </w:rPr>
        <w:t>无法唯一映射到 invocation 的 activity/sync 输出 INVOCATION_OWNERSHIP_AMBIGUOUS；无法确定 phase owner 时输出 PHASE_OWNERSHIP_AMBIGUOUS。</w:t>
      </w:r>
    </w:p>
    <w:p w14:paraId="36E17AE5">
      <w:pPr>
        <w:pStyle w:val="16"/>
        <w:rPr>
          <w:rFonts w:ascii="Times New Roman" w:hAnsi="Times New Roman" w:eastAsia="宋体"/>
          <w:color w:val="auto"/>
        </w:rPr>
      </w:pPr>
      <w:r>
        <w:rPr>
          <w:rFonts w:ascii="Times New Roman" w:hAnsi="Times New Roman" w:eastAsia="宋体"/>
          <w:b w:val="0"/>
          <w:i w:val="0"/>
          <w:color w:val="000000"/>
        </w:rPr>
        <w:t>前一 invocation 的未完成工作进入当前 invocation 窗口时标记 invocation_bleed；正式质量门通过前不得用于强机制结论。</w:t>
      </w:r>
    </w:p>
    <w:p w14:paraId="56667D3C">
      <w:pPr>
        <w:pStyle w:val="16"/>
        <w:rPr>
          <w:rFonts w:ascii="Times New Roman" w:hAnsi="Times New Roman" w:eastAsia="宋体"/>
          <w:color w:val="auto"/>
        </w:rPr>
      </w:pPr>
      <w:r>
        <w:rPr>
          <w:rFonts w:ascii="Times New Roman" w:hAnsi="Times New Roman" w:eastAsia="宋体"/>
          <w:b w:val="0"/>
          <w:i w:val="0"/>
          <w:color w:val="000000"/>
        </w:rPr>
        <w:t>batch&gt;1 的 owner 是整次 batched inference invocation；本研究不把 A/B 反事实分摊为单样本因果开销。</w:t>
      </w:r>
    </w:p>
    <w:p w14:paraId="67E160D0">
      <w:pPr>
        <w:pStyle w:val="5"/>
        <w:rPr>
          <w:rFonts w:ascii="Times New Roman" w:hAnsi="Times New Roman" w:eastAsia="宋体"/>
          <w:color w:val="auto"/>
        </w:rPr>
      </w:pPr>
      <w:r>
        <w:rPr>
          <w:rFonts w:ascii="Times New Roman" w:hAnsi="Times New Roman" w:eastAsia="宋体"/>
          <w:b w:val="0"/>
          <w:i w:val="0"/>
          <w:color w:val="000000"/>
        </w:rPr>
        <w:t>2.3.7 S→A/B 的机器可检查语义不变量</w:t>
      </w:r>
    </w:p>
    <w:p w14:paraId="601E7172">
      <w:pPr>
        <w:pStyle w:val="169"/>
        <w:rPr>
          <w:rFonts w:ascii="Times New Roman" w:hAnsi="Times New Roman" w:eastAsia="宋体"/>
          <w:color w:val="auto"/>
        </w:rPr>
      </w:pPr>
      <w:r>
        <w:rPr>
          <w:rFonts w:ascii="Times New Roman" w:hAnsi="Times New Roman" w:eastAsia="宋体"/>
          <w:b w:val="0"/>
          <w:i w:val="0"/>
          <w:color w:val="000000"/>
        </w:rPr>
        <w:t>对证据充分的同步：A_device_wait(s)=μ([s.start,s.end) ∩ ⋃e∈W(s)[e.start,e.end))；A_sync_residual(s)=duration(s)−A_device_wait(s)。μ 表示 interval union 墙钟长度；同步前已完成成员仍保留在 W(s)，但对该 sync 的暴露交集可以为 0。</w:t>
      </w:r>
    </w:p>
    <w:p w14:paraId="76B68C35">
      <w:pPr>
        <w:pStyle w:val="169"/>
        <w:rPr>
          <w:rFonts w:ascii="Times New Roman" w:hAnsi="Times New Roman" w:eastAsia="宋体"/>
          <w:color w:val="auto"/>
        </w:rPr>
      </w:pPr>
      <w:r>
        <w:rPr>
          <w:rFonts w:ascii="Times New Roman" w:hAnsi="Times New Roman" w:eastAsia="宋体"/>
          <w:b w:val="0"/>
          <w:i w:val="0"/>
          <w:color w:val="000000"/>
        </w:rPr>
        <w:t>对 VALID_EMPTY，同步确无请求内受支持前驱，A_device_wait=0；对 AMBIGUOUS/INVALID，相关同步区间进入 A_unattributed 或合同指定的未知类别，不能为闭合塞入 A_host_path。具体 residual 规则由 Measurement Contract 冻结。</w:t>
      </w:r>
    </w:p>
    <w:p w14:paraId="569427A3">
      <w:pPr>
        <w:pStyle w:val="168"/>
        <w:rPr>
          <w:rFonts w:ascii="Times New Roman" w:hAnsi="Times New Roman" w:eastAsia="宋体"/>
          <w:color w:val="auto"/>
        </w:rPr>
      </w:pPr>
      <w:r>
        <w:rPr>
          <w:rFonts w:ascii="Times New Roman" w:hAnsi="Times New Roman" w:eastAsia="宋体"/>
          <w:b w:val="0"/>
          <w:i w:val="0"/>
          <w:color w:val="000000"/>
        </w:rPr>
        <w:t>B 仅对单次同步解释 terminal 的 pre-sync hidden progress、sync-overlap 与 return tail；B 不跨 sync 求和，不加入 A 墙钟预算，也不把 terminal total duration 称为同步阻塞。sync_return_tail 是保守尾部，不自动解释为 runtime overhead。</w:t>
      </w:r>
    </w:p>
    <w:p w14:paraId="7160E219">
      <w:pPr>
        <w:pStyle w:val="16"/>
        <w:rPr>
          <w:rFonts w:ascii="Times New Roman" w:hAnsi="Times New Roman" w:eastAsia="宋体"/>
          <w:color w:val="auto"/>
        </w:rPr>
      </w:pPr>
      <w:r>
        <w:rPr>
          <w:rFonts w:ascii="Times New Roman" w:hAnsi="Times New Roman" w:eastAsia="宋体"/>
          <w:b w:val="0"/>
          <w:i w:val="0"/>
          <w:color w:val="000000"/>
        </w:rPr>
        <w:t>禁止把所有 terminal_exec_overlap_sync 跨 sync 求和并替代 A_device_wait。</w:t>
      </w:r>
    </w:p>
    <w:p w14:paraId="2A3D5603">
      <w:pPr>
        <w:pStyle w:val="16"/>
        <w:rPr>
          <w:rFonts w:ascii="Times New Roman" w:hAnsi="Times New Roman" w:eastAsia="宋体"/>
          <w:color w:val="auto"/>
        </w:rPr>
      </w:pPr>
      <w:r>
        <w:rPr>
          <w:rFonts w:ascii="Times New Roman" w:hAnsi="Times New Roman" w:eastAsia="宋体"/>
          <w:b w:val="0"/>
          <w:i w:val="0"/>
          <w:color w:val="000000"/>
        </w:rPr>
        <w:t>禁止把 B 指标再次加到 A 上，或用 ΣΔA≈ΔT 代替语义正确性证明。</w:t>
      </w:r>
    </w:p>
    <w:p w14:paraId="56CB7228">
      <w:pPr>
        <w:pStyle w:val="16"/>
        <w:rPr>
          <w:rFonts w:ascii="Times New Roman" w:hAnsi="Times New Roman" w:eastAsia="宋体"/>
          <w:color w:val="auto"/>
        </w:rPr>
      </w:pPr>
      <w:r>
        <w:rPr>
          <w:rFonts w:ascii="Times New Roman" w:hAnsi="Times New Roman" w:eastAsia="宋体"/>
          <w:b w:val="0"/>
          <w:i w:val="0"/>
          <w:color w:val="000000"/>
        </w:rPr>
        <w:t>分析器必须输出分区互斥/守恒、B 不进入 A 预算、completed-before-sync 成员保留、无关重叠排除、validity 传播和 invalid-sync 不归 Host 等机器可检查 QA 字段；字段名以 Measurement Contract 的冻结 schema 为准。</w:t>
      </w:r>
    </w:p>
    <w:p w14:paraId="139D4BBC">
      <w:pPr>
        <w:pStyle w:val="5"/>
        <w:rPr>
          <w:rFonts w:ascii="Times New Roman" w:hAnsi="Times New Roman" w:eastAsia="宋体"/>
          <w:color w:val="auto"/>
        </w:rPr>
      </w:pPr>
      <w:r>
        <w:rPr>
          <w:rFonts w:ascii="Times New Roman" w:hAnsi="Times New Roman" w:eastAsia="宋体"/>
          <w:b w:val="0"/>
          <w:i w:val="0"/>
          <w:color w:val="000000"/>
        </w:rPr>
        <w:t>2.3.8 Fail-closed reason taxonomy 与判定优先级</w:t>
      </w:r>
    </w:p>
    <w:p w14:paraId="7BD2ACBC">
      <w:pPr>
        <w:rPr>
          <w:rFonts w:ascii="Times New Roman" w:hAnsi="Times New Roman" w:eastAsia="宋体"/>
          <w:color w:val="auto"/>
        </w:rPr>
      </w:pPr>
      <w:r>
        <w:rPr>
          <w:rFonts w:ascii="Times New Roman" w:hAnsi="Times New Roman" w:eastAsia="宋体"/>
          <w:b w:val="0"/>
          <w:i w:val="0"/>
          <w:color w:val="000000"/>
        </w:rPr>
        <w:t>invalid_reason 是 correctness contract 的正式输出，不是调试字符串。registry v0.x 至少冻结以下枚举，并允许通过版本化 registry 追加，禁止静默改名或合并。</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2"/>
        <w:gridCol w:w="4461"/>
        <w:gridCol w:w="2489"/>
      </w:tblGrid>
      <w:tr w14:paraId="14D2D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DEBF7"/>
            <w:vAlign w:val="center"/>
          </w:tcPr>
          <w:p w14:paraId="0807BB7B">
            <w:pPr>
              <w:snapToGrid w:val="0"/>
              <w:spacing w:line="240" w:lineRule="auto"/>
              <w:ind w:left="0" w:leftChars="0" w:right="0" w:rightChars="0" w:firstLine="0" w:firstLineChars="0"/>
              <w:jc w:val="center"/>
              <w:rPr>
                <w:rFonts w:ascii="Times New Roman" w:hAnsi="Times New Roman" w:eastAsia="宋体"/>
                <w:b/>
                <w:color w:val="auto"/>
              </w:rPr>
            </w:pPr>
            <w:r>
              <w:rPr>
                <w:rFonts w:ascii="Times New Roman" w:hAnsi="Times New Roman" w:eastAsia="宋体"/>
                <w:b/>
                <w:color w:val="auto"/>
              </w:rPr>
              <w:t>层级</w:t>
            </w:r>
          </w:p>
        </w:tc>
        <w:tc>
          <w:tcPr>
            <w:tcW w:w="3626" w:type="dxa"/>
            <w:shd w:val="clear" w:color="auto" w:fill="DDEBF7"/>
            <w:vAlign w:val="center"/>
          </w:tcPr>
          <w:p w14:paraId="444F9CA1">
            <w:pPr>
              <w:snapToGrid w:val="0"/>
              <w:spacing w:line="240" w:lineRule="auto"/>
              <w:ind w:left="0" w:leftChars="0" w:right="0" w:rightChars="0" w:firstLine="0" w:firstLineChars="0"/>
              <w:jc w:val="center"/>
              <w:rPr>
                <w:rFonts w:ascii="Times New Roman" w:hAnsi="Times New Roman" w:eastAsia="宋体"/>
                <w:b/>
                <w:color w:val="auto"/>
              </w:rPr>
            </w:pPr>
            <w:r>
              <w:rPr>
                <w:rFonts w:ascii="Times New Roman" w:hAnsi="Times New Roman" w:eastAsia="宋体"/>
                <w:b/>
                <w:color w:val="auto"/>
              </w:rPr>
              <w:t>primaryinvalidreason示例</w:t>
            </w:r>
          </w:p>
        </w:tc>
        <w:tc>
          <w:tcPr>
            <w:tcW w:w="3324" w:type="dxa"/>
            <w:shd w:val="clear" w:color="auto" w:fill="DDEBF7"/>
            <w:vAlign w:val="center"/>
          </w:tcPr>
          <w:p w14:paraId="09CCA326">
            <w:pPr>
              <w:snapToGrid w:val="0"/>
              <w:spacing w:line="240" w:lineRule="auto"/>
              <w:ind w:left="0" w:leftChars="0" w:right="0" w:rightChars="0" w:firstLine="0" w:firstLineChars="0"/>
              <w:jc w:val="center"/>
              <w:rPr>
                <w:rFonts w:ascii="Times New Roman" w:hAnsi="Times New Roman" w:eastAsia="宋体"/>
                <w:b/>
                <w:color w:val="auto"/>
              </w:rPr>
            </w:pPr>
            <w:r>
              <w:rPr>
                <w:rFonts w:ascii="Times New Roman" w:hAnsi="Times New Roman" w:eastAsia="宋体"/>
                <w:b/>
                <w:color w:val="auto"/>
              </w:rPr>
              <w:t>说明</w:t>
            </w:r>
          </w:p>
        </w:tc>
      </w:tr>
      <w:tr w14:paraId="1D50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3F25245">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Trace 完整性</w:t>
            </w:r>
          </w:p>
        </w:tc>
        <w:tc>
          <w:tcPr>
            <w:tcW w:w="3626" w:type="dxa"/>
            <w:vAlign w:val="center"/>
          </w:tcPr>
          <w:p w14:paraId="17FEBADE">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TRACE_DROPPED、CLOCK_ORDER_INVALID、ACTIVITY_OUT_OF_WINDOW</w:t>
            </w:r>
          </w:p>
        </w:tc>
        <w:tc>
          <w:tcPr>
            <w:tcW w:w="3324" w:type="dxa"/>
            <w:vAlign w:val="center"/>
          </w:tcPr>
          <w:p w14:paraId="643BCC72">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原始事实不完整或时间顺序非法</w:t>
            </w:r>
          </w:p>
        </w:tc>
      </w:tr>
      <w:tr w14:paraId="400B6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AFF90FC">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Ownership</w:t>
            </w:r>
          </w:p>
        </w:tc>
        <w:tc>
          <w:tcPr>
            <w:tcW w:w="3626" w:type="dxa"/>
            <w:vAlign w:val="center"/>
          </w:tcPr>
          <w:p w14:paraId="4ACF6506">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INVOCATION_OWNERSHIP_AMBIGUOUS、PHASE_OWNERSHIP_AMBIGUOUS、MULTI_CONTEXT_OWNERSHIP_AMBIGUOUS</w:t>
            </w:r>
          </w:p>
        </w:tc>
        <w:tc>
          <w:tcPr>
            <w:tcW w:w="3324" w:type="dxa"/>
            <w:vAlign w:val="center"/>
          </w:tcPr>
          <w:p w14:paraId="6B2EDDBC">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请求、阶段或 context 归属不能唯一恢复</w:t>
            </w:r>
          </w:p>
        </w:tc>
      </w:tr>
      <w:tr w14:paraId="33390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5B47E59">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支持性</w:t>
            </w:r>
          </w:p>
        </w:tc>
        <w:tc>
          <w:tcPr>
            <w:tcW w:w="3626" w:type="dxa"/>
            <w:vAlign w:val="center"/>
          </w:tcPr>
          <w:p w14:paraId="5C8FB28C">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UNSUPPORTED_SYNC_API、GRAPH_MAPPING_UNSUPPORTED、DEFAULT_STREAM_MODE_UNKNOWN</w:t>
            </w:r>
          </w:p>
        </w:tc>
        <w:tc>
          <w:tcPr>
            <w:tcW w:w="3324" w:type="dxa"/>
            <w:vAlign w:val="center"/>
          </w:tcPr>
          <w:p w14:paraId="6F201C01">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registry 未声明可恢复该语义</w:t>
            </w:r>
          </w:p>
        </w:tc>
      </w:tr>
      <w:tr w14:paraId="6CF6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5324710">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Mapping</w:t>
            </w:r>
          </w:p>
        </w:tc>
        <w:tc>
          <w:tcPr>
            <w:tcW w:w="3626" w:type="dxa"/>
            <w:vAlign w:val="center"/>
          </w:tcPr>
          <w:p w14:paraId="49C97566">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MISSING_CONTEXT_ID、MISSING_STREAM_ID、MISSING_EVENT_ID、MISSING_EVENT_RECORD、MISSING_ACTIVITY_CORRELATION</w:t>
            </w:r>
          </w:p>
        </w:tc>
        <w:tc>
          <w:tcPr>
            <w:tcW w:w="3324" w:type="dxa"/>
            <w:vAlign w:val="center"/>
          </w:tcPr>
          <w:p w14:paraId="3250816D">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恢复等待域所需映射缺失</w:t>
            </w:r>
          </w:p>
        </w:tc>
      </w:tr>
      <w:tr w14:paraId="14B8A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A5ECD8A">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Ordering/closure</w:t>
            </w:r>
          </w:p>
        </w:tc>
        <w:tc>
          <w:tcPr>
            <w:tcW w:w="3626" w:type="dxa"/>
            <w:vAlign w:val="center"/>
          </w:tcPr>
          <w:p w14:paraId="75CC315D">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SUBMISSION_ORDER_AMBIGUOUS、DEPENDENCY_CLOSURE_UNOBSERVABLE</w:t>
            </w:r>
          </w:p>
        </w:tc>
        <w:tc>
          <w:tcPr>
            <w:tcW w:w="3324" w:type="dxa"/>
            <w:vAlign w:val="center"/>
          </w:tcPr>
          <w:p w14:paraId="65E9F8AC">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成员资格或传递前驱无法证明</w:t>
            </w:r>
          </w:p>
        </w:tc>
      </w:tr>
      <w:tr w14:paraId="01A3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2" w:type="dxa"/>
            <w:vAlign w:val="center"/>
          </w:tcPr>
          <w:p w14:paraId="0E651780">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Terminal/B</w:t>
            </w:r>
          </w:p>
        </w:tc>
        <w:tc>
          <w:tcPr>
            <w:tcW w:w="3626" w:type="dxa"/>
            <w:vAlign w:val="center"/>
          </w:tcPr>
          <w:p w14:paraId="75C4BCB4">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TERMINAL_NOT_UNIQUE、TERMINAL_ORDER_INVALID</w:t>
            </w:r>
          </w:p>
        </w:tc>
        <w:tc>
          <w:tcPr>
            <w:tcW w:w="3324" w:type="dxa"/>
            <w:vAlign w:val="center"/>
          </w:tcPr>
          <w:p w14:paraId="76FA3D75">
            <w:pPr>
              <w:snapToGrid w:val="0"/>
              <w:spacing w:line="240" w:lineRule="auto"/>
              <w:ind w:left="0" w:leftChars="0" w:right="0" w:rightChars="0" w:firstLine="0" w:firstLineChars="0"/>
              <w:jc w:val="left"/>
              <w:rPr>
                <w:rFonts w:ascii="Times New Roman" w:hAnsi="Times New Roman" w:eastAsia="宋体"/>
                <w:color w:val="auto"/>
              </w:rPr>
            </w:pPr>
            <w:r>
              <w:rPr>
                <w:rFonts w:ascii="Times New Roman" w:hAnsi="Times New Roman" w:eastAsia="宋体"/>
                <w:b w:val="0"/>
                <w:color w:val="auto"/>
              </w:rPr>
              <w:t>wait set 可存在，但 terminal/B 无法可靠解释</w:t>
            </w:r>
          </w:p>
        </w:tc>
      </w:tr>
    </w:tbl>
    <w:p w14:paraId="34ADD5E9">
      <w:pPr>
        <w:pStyle w:val="167"/>
        <w:rPr>
          <w:rFonts w:ascii="Times New Roman" w:hAnsi="Times New Roman" w:eastAsia="宋体"/>
          <w:color w:val="auto"/>
        </w:rPr>
      </w:pPr>
      <w:r>
        <w:rPr>
          <w:rFonts w:ascii="Times New Roman" w:hAnsi="Times New Roman" w:eastAsia="宋体"/>
          <w:b w:val="0"/>
          <w:i w:val="0"/>
          <w:color w:val="000000"/>
        </w:rPr>
        <w:t>Reason taxonomy 至少覆盖 trace 完整性、ownership、支持性、mapping、submission/closure 与 terminal 证据。primary/secondary reason 的优先级必须版本化；coverage 同时按 count、sync duration 和 B-valid duration 报告。</w:t>
      </w:r>
    </w:p>
    <w:p w14:paraId="0264D06B">
      <w:pPr>
        <w:pStyle w:val="5"/>
        <w:rPr>
          <w:rFonts w:ascii="Times New Roman" w:hAnsi="Times New Roman" w:eastAsia="宋体"/>
          <w:color w:val="auto"/>
        </w:rPr>
      </w:pPr>
      <w:r>
        <w:rPr>
          <w:rFonts w:ascii="Times New Roman" w:hAnsi="Times New Roman" w:eastAsia="宋体"/>
          <w:b w:val="0"/>
          <w:i w:val="0"/>
          <w:color w:val="000000"/>
        </w:rPr>
        <w:t>2.3.9 Semantic Freeze 与 Pilot 的边界</w:t>
      </w:r>
    </w:p>
    <w:p w14:paraId="5C5C762A">
      <w:pPr>
        <w:pStyle w:val="167"/>
        <w:rPr>
          <w:rFonts w:ascii="Times New Roman" w:hAnsi="Times New Roman" w:eastAsia="宋体"/>
          <w:color w:val="auto"/>
        </w:rPr>
      </w:pPr>
      <w:r>
        <w:rPr>
          <w:rFonts w:ascii="Times New Roman" w:hAnsi="Times New Roman" w:eastAsia="宋体"/>
          <w:b w:val="0"/>
          <w:i w:val="0"/>
          <w:color w:val="000000"/>
        </w:rPr>
        <w:t>本增补现在冻结“定义、状态、恢复/拒绝规则与 Q0 资格对象”；timestamp tolerance、A_unattributed 上限、supported duration coverage、B-valid coverage、repeat 数、profiler overhead、N1 等价带、C1 capture/graph-break 门槛与共同显存可行域仍由 Pilot 数据冻结。不得在 Pre-Pilot 阶段凭经验填写有利阈值。</w:t>
      </w:r>
    </w:p>
    <w:p w14:paraId="7B572FAC">
      <w:pPr>
        <w:pStyle w:val="168"/>
        <w:rPr>
          <w:rFonts w:ascii="Times New Roman" w:hAnsi="Times New Roman" w:eastAsia="宋体"/>
          <w:color w:val="auto"/>
        </w:rPr>
      </w:pPr>
      <w:r>
        <w:rPr>
          <w:rFonts w:ascii="Times New Roman" w:hAnsi="Times New Roman" w:eastAsia="宋体"/>
          <w:b w:val="0"/>
          <w:i w:val="0"/>
          <w:color w:val="000000"/>
        </w:rPr>
        <w:t>第 0 步退出条件：任意 sync 均能确定其 universe 类别、所需事实、wait-set 状态、dependency closure、ownership、A/B 输出与 invalid reason；每条规则在实验协议中存在对应 Q0 case/oracle 字段。满足后立即进入 Q0/Pilot，不再扩大研究背景或可选实验范围。</w:t>
      </w:r>
    </w:p>
    <w:p w14:paraId="79D2455B">
      <w:pPr>
        <w:pStyle w:val="4"/>
        <w:rPr>
          <w:rFonts w:ascii="Times New Roman" w:hAnsi="Times New Roman" w:eastAsia="宋体"/>
        </w:rPr>
      </w:pPr>
      <w:r>
        <w:rPr>
          <w:rFonts w:ascii="Times New Roman" w:hAnsi="Times New Roman" w:eastAsia="宋体"/>
          <w:color w:val="000000"/>
        </w:rPr>
        <w:t>2.4 A 层：互斥守恒墙钟</w:t>
      </w:r>
    </w:p>
    <w:p w14:paraId="3D3DED53">
      <w:pPr>
        <w:pStyle w:val="169"/>
        <w:shd w:val="clear" w:fill="F3F5F7"/>
        <w:jc w:val="center"/>
        <w:rPr>
          <w:rFonts w:ascii="Times New Roman" w:hAnsi="Times New Roman" w:eastAsia="宋体"/>
          <w:highlight w:val="none"/>
        </w:rPr>
      </w:pPr>
      <w:r>
        <w:rPr>
          <w:rFonts w:ascii="Times New Roman" w:hAnsi="Times New Roman" w:eastAsia="宋体"/>
          <w:color w:val="000000"/>
        </w:rPr>
        <w:t>T_window = A_host_path + A_cuda_api + A_device_wait + A_sync_residual + A_unattributed</w:t>
      </w:r>
    </w:p>
    <w:p w14:paraId="21F39057">
      <w:pPr>
        <w:pStyle w:val="168"/>
        <w:rPr>
          <w:rFonts w:ascii="Times New Roman" w:hAnsi="Times New Roman" w:eastAsia="宋体"/>
        </w:rPr>
      </w:pPr>
      <w:r>
        <w:rPr>
          <w:rFonts w:ascii="Times New Roman" w:hAnsi="Times New Roman" w:eastAsia="宋体"/>
          <w:color w:val="000000"/>
        </w:rPr>
        <w:t>A 类是 invocation 墙钟的互斥记账归属，不是反事实可消除时延。某一 A 类绝对值较高，只表示该类 owner 在记账优先级下占有较多墙钟；不能单独推出缩短该类活动可获得等量 E2E 收益。</w:t>
      </w:r>
    </w:p>
    <w:tbl>
      <w:tblPr>
        <w:tblStyle w:val="34"/>
        <w:tblW w:w="84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3"/>
        <w:gridCol w:w="3808"/>
        <w:gridCol w:w="3355"/>
      </w:tblGrid>
      <w:tr w14:paraId="35913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CE6F1"/>
            <w:tcMar>
              <w:top w:w="70" w:type="dxa"/>
              <w:left w:w="80" w:type="dxa"/>
              <w:bottom w:w="70" w:type="dxa"/>
              <w:right w:w="80" w:type="dxa"/>
            </w:tcMar>
            <w:vAlign w:val="center"/>
          </w:tcPr>
          <w:p w14:paraId="52884427">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指标</w:t>
            </w:r>
          </w:p>
        </w:tc>
        <w:tc>
          <w:tcPr>
            <w:tcW w:w="0" w:type="auto"/>
            <w:shd w:val="clear" w:color="auto" w:fill="DCE6F1"/>
            <w:tcMar>
              <w:top w:w="70" w:type="dxa"/>
              <w:left w:w="80" w:type="dxa"/>
              <w:bottom w:w="70" w:type="dxa"/>
              <w:right w:w="80" w:type="dxa"/>
            </w:tcMar>
            <w:vAlign w:val="center"/>
          </w:tcPr>
          <w:p w14:paraId="17266120">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严格定义</w:t>
            </w:r>
          </w:p>
        </w:tc>
        <w:tc>
          <w:tcPr>
            <w:tcW w:w="3355" w:type="dxa"/>
            <w:shd w:val="clear" w:color="auto" w:fill="DCE6F1"/>
            <w:tcMar>
              <w:top w:w="70" w:type="dxa"/>
              <w:left w:w="80" w:type="dxa"/>
              <w:bottom w:w="70" w:type="dxa"/>
              <w:right w:w="80" w:type="dxa"/>
            </w:tcMar>
            <w:vAlign w:val="center"/>
          </w:tcPr>
          <w:p w14:paraId="68E1EC4E">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解释边界</w:t>
            </w:r>
          </w:p>
        </w:tc>
      </w:tr>
      <w:tr w14:paraId="2542D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57375D78">
            <w:pPr>
              <w:keepNext/>
              <w:snapToGrid w:val="0"/>
              <w:spacing w:after="0" w:line="240" w:lineRule="auto"/>
              <w:ind w:left="0" w:leftChars="0" w:right="0" w:rightChars="0" w:firstLine="0" w:firstLineChars="0"/>
              <w:jc w:val="left"/>
              <w:rPr>
                <w:rFonts w:ascii="Times New Roman" w:hAnsi="Times New Roman" w:eastAsia="宋体"/>
                <w:sz w:val="17"/>
                <w:highlight w:val="none"/>
              </w:rPr>
            </w:pPr>
            <w:r>
              <w:rPr>
                <w:rFonts w:ascii="Times New Roman" w:hAnsi="Times New Roman" w:eastAsia="宋体"/>
                <w:sz w:val="17"/>
              </w:rPr>
              <w:t>A_host_path</w:t>
            </w:r>
          </w:p>
        </w:tc>
        <w:tc>
          <w:tcPr>
            <w:tcW w:w="0" w:type="auto"/>
            <w:tcMar>
              <w:top w:w="70" w:type="dxa"/>
              <w:left w:w="80" w:type="dxa"/>
              <w:bottom w:w="70" w:type="dxa"/>
              <w:right w:w="80" w:type="dxa"/>
            </w:tcMar>
            <w:vAlign w:val="center"/>
          </w:tcPr>
          <w:p w14:paraId="0E4EC777">
            <w:pPr>
              <w:keepNext/>
              <w:snapToGrid w:val="0"/>
              <w:spacing w:after="0" w:line="240" w:lineRule="auto"/>
              <w:ind w:left="0" w:leftChars="0" w:right="0" w:rightChars="0" w:firstLine="0" w:firstLineChars="0"/>
              <w:jc w:val="left"/>
              <w:rPr>
                <w:rFonts w:ascii="Times New Roman" w:hAnsi="Times New Roman" w:eastAsia="宋体"/>
                <w:sz w:val="17"/>
                <w:highlight w:val="none"/>
              </w:rPr>
            </w:pPr>
            <w:r>
              <w:rPr>
                <w:rFonts w:ascii="Times New Roman" w:hAnsi="Times New Roman" w:eastAsia="宋体"/>
                <w:sz w:val="17"/>
              </w:rPr>
              <w:t>在 invocation/request-owner 与时间边界证据成立时，排除 A_unattributed、有效同步的 A_device_wait/A_sync_residual 以及请求相关 A_cuda_api 后，剩余的 Host/CPU 请求推进墙钟路径。</w:t>
            </w:r>
          </w:p>
        </w:tc>
        <w:tc>
          <w:tcPr>
            <w:tcW w:w="3355" w:type="dxa"/>
            <w:tcMar>
              <w:top w:w="70" w:type="dxa"/>
              <w:left w:w="80" w:type="dxa"/>
              <w:bottom w:w="70" w:type="dxa"/>
              <w:right w:w="80" w:type="dxa"/>
            </w:tcMar>
            <w:vAlign w:val="center"/>
          </w:tcPr>
          <w:p w14:paraId="13131678">
            <w:pPr>
              <w:keepNext/>
              <w:snapToGrid w:val="0"/>
              <w:spacing w:after="0" w:line="240" w:lineRule="auto"/>
              <w:ind w:left="0" w:leftChars="0" w:right="0" w:rightChars="0" w:firstLine="0" w:firstLineChars="0"/>
              <w:jc w:val="left"/>
              <w:rPr>
                <w:rFonts w:ascii="Times New Roman" w:hAnsi="Times New Roman" w:eastAsia="宋体"/>
                <w:sz w:val="17"/>
                <w:highlight w:val="none"/>
              </w:rPr>
            </w:pPr>
            <w:r>
              <w:rPr>
                <w:rFonts w:ascii="Times New Roman" w:hAnsi="Times New Roman" w:eastAsia="宋体"/>
                <w:sz w:val="17"/>
              </w:rPr>
              <w:t>采用方案 A 的剩余型 accounting category：可包含框架控制、CPU 计算、sampling、线程同步、调度/抢占和其他 Host 路径；不等价于 CPU busy time，也不声称已恢复每段 CPU 根因。证据不足、ownership 歧义或 unsupported 区间必须先进入 A_unattributed，不能为闭合而塞入 Host。</w:t>
            </w:r>
          </w:p>
        </w:tc>
      </w:tr>
      <w:tr w14:paraId="352B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4FBBF760">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A_cuda_api</w:t>
            </w:r>
          </w:p>
        </w:tc>
        <w:tc>
          <w:tcPr>
            <w:tcW w:w="0" w:type="auto"/>
            <w:shd w:val="clear" w:color="auto" w:fill="F8FAFC"/>
            <w:tcMar>
              <w:top w:w="70" w:type="dxa"/>
              <w:left w:w="80" w:type="dxa"/>
              <w:bottom w:w="70" w:type="dxa"/>
              <w:right w:w="80" w:type="dxa"/>
            </w:tcMar>
            <w:vAlign w:val="center"/>
          </w:tcPr>
          <w:p w14:paraId="2CE9E17A">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请求推进路径上由 CUDA runtime/driver API 占有的互斥墙钟；阻塞 sync 的完整 duration 不直接全算入此类。</w:t>
            </w:r>
          </w:p>
        </w:tc>
        <w:tc>
          <w:tcPr>
            <w:tcW w:w="3355" w:type="dxa"/>
            <w:shd w:val="clear" w:color="auto" w:fill="F8FAFC"/>
            <w:tcMar>
              <w:top w:w="70" w:type="dxa"/>
              <w:left w:w="80" w:type="dxa"/>
              <w:bottom w:w="70" w:type="dxa"/>
              <w:right w:w="80" w:type="dxa"/>
            </w:tcMar>
            <w:vAlign w:val="center"/>
          </w:tcPr>
          <w:p w14:paraId="65682D0C">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衡量 CUDA 提交、查询和资源管理等 API 对 invocation 墙钟的互斥记账占有；是否位于关键路径、能否转化为 E2E 收益，需要结合 temporal overlap、具体 correlation 和受控实验判断。</w:t>
            </w:r>
          </w:p>
        </w:tc>
      </w:tr>
      <w:tr w14:paraId="220F3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110879EC">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A_device_wait</w:t>
            </w:r>
          </w:p>
        </w:tc>
        <w:tc>
          <w:tcPr>
            <w:tcW w:w="0" w:type="auto"/>
            <w:tcMar>
              <w:top w:w="70" w:type="dxa"/>
              <w:left w:w="80" w:type="dxa"/>
              <w:bottom w:w="70" w:type="dxa"/>
              <w:right w:w="80" w:type="dxa"/>
            </w:tcMar>
            <w:vAlign w:val="center"/>
          </w:tcPr>
          <w:p w14:paraId="537AF965">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Host 正在等待请求完成条件，且该 sync 的有效 wait-set 中存在 GPU kernel 或显式 MemOp 执行的互斥墙钟。</w:t>
            </w:r>
          </w:p>
        </w:tc>
        <w:tc>
          <w:tcPr>
            <w:tcW w:w="3355" w:type="dxa"/>
            <w:tcMar>
              <w:top w:w="70" w:type="dxa"/>
              <w:left w:w="80" w:type="dxa"/>
              <w:bottom w:w="70" w:type="dxa"/>
              <w:right w:w="80" w:type="dxa"/>
            </w:tcMar>
            <w:vAlign w:val="center"/>
          </w:tcPr>
          <w:p w14:paraId="31D2DB17">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表示调用者等待期间真正由设备活动占据的时间；不是全部 raw kernel duration。</w:t>
            </w:r>
          </w:p>
        </w:tc>
      </w:tr>
      <w:tr w14:paraId="370D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04352BF6">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A_sync_residual</w:t>
            </w:r>
          </w:p>
        </w:tc>
        <w:tc>
          <w:tcPr>
            <w:tcW w:w="0" w:type="auto"/>
            <w:shd w:val="clear" w:color="auto" w:fill="F8FAFC"/>
            <w:tcMar>
              <w:top w:w="70" w:type="dxa"/>
              <w:left w:w="80" w:type="dxa"/>
              <w:bottom w:w="70" w:type="dxa"/>
              <w:right w:w="80" w:type="dxa"/>
            </w:tcMar>
            <w:vAlign w:val="center"/>
          </w:tcPr>
          <w:p w14:paraId="4D03B15C">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有效 sync 区间内未被 wait-set device activity 覆盖、但仍由该同步调用占有的剩余墙钟。</w:t>
            </w:r>
          </w:p>
        </w:tc>
        <w:tc>
          <w:tcPr>
            <w:tcW w:w="3355" w:type="dxa"/>
            <w:shd w:val="clear" w:color="auto" w:fill="F8FAFC"/>
            <w:tcMar>
              <w:top w:w="70" w:type="dxa"/>
              <w:left w:w="80" w:type="dxa"/>
              <w:bottom w:w="70" w:type="dxa"/>
              <w:right w:w="80" w:type="dxa"/>
            </w:tcMar>
            <w:vAlign w:val="center"/>
          </w:tcPr>
          <w:p w14:paraId="596C4411">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作为同步残余的保守统计；不进一步强制拆为 gap/return tail，也不能直接称为“冗余同步开销”。</w:t>
            </w:r>
          </w:p>
        </w:tc>
      </w:tr>
      <w:tr w14:paraId="77674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3" w:type="dxa"/>
            <w:tcMar>
              <w:top w:w="70" w:type="dxa"/>
              <w:left w:w="80" w:type="dxa"/>
              <w:bottom w:w="70" w:type="dxa"/>
              <w:right w:w="80" w:type="dxa"/>
            </w:tcMar>
            <w:vAlign w:val="center"/>
          </w:tcPr>
          <w:p w14:paraId="24F75FAC">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A_unattributed</w:t>
            </w:r>
          </w:p>
        </w:tc>
        <w:tc>
          <w:tcPr>
            <w:tcW w:w="3808" w:type="dxa"/>
            <w:tcMar>
              <w:top w:w="70" w:type="dxa"/>
              <w:left w:w="80" w:type="dxa"/>
              <w:bottom w:w="70" w:type="dxa"/>
              <w:right w:w="80" w:type="dxa"/>
            </w:tcMar>
            <w:vAlign w:val="center"/>
          </w:tcPr>
          <w:p w14:paraId="1661BAB8">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因边界、归属、correlation、wait-set 或时间证据不足，以及 invalid/unsupported sync 而不能可靠归属的时间。</w:t>
            </w:r>
          </w:p>
        </w:tc>
        <w:tc>
          <w:tcPr>
            <w:tcW w:w="3355" w:type="dxa"/>
            <w:tcMar>
              <w:top w:w="70" w:type="dxa"/>
              <w:left w:w="80" w:type="dxa"/>
              <w:bottom w:w="70" w:type="dxa"/>
              <w:right w:w="80" w:type="dxa"/>
            </w:tcMar>
            <w:vAlign w:val="center"/>
          </w:tcPr>
          <w:p w14:paraId="29242A6C">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诚实呈现观测缺口；比例过高时该配置不能用于强机制结论。</w:t>
            </w:r>
          </w:p>
        </w:tc>
      </w:tr>
    </w:tbl>
    <w:p w14:paraId="585C3441">
      <w:pPr>
        <w:spacing w:after="20"/>
        <w:rPr>
          <w:rFonts w:ascii="Times New Roman" w:hAnsi="Times New Roman" w:eastAsia="宋体"/>
        </w:rPr>
      </w:pPr>
    </w:p>
    <w:p w14:paraId="28D544A4">
      <w:pPr>
        <w:pStyle w:val="5"/>
        <w:rPr>
          <w:rFonts w:ascii="Times New Roman" w:hAnsi="Times New Roman" w:eastAsia="宋体"/>
          <w:highlight w:val="none"/>
        </w:rPr>
      </w:pPr>
      <w:r>
        <w:rPr>
          <w:rFonts w:ascii="Times New Roman" w:hAnsi="Times New Roman" w:eastAsia="宋体"/>
          <w:color w:val="000000"/>
        </w:rPr>
        <w:t>2.4.0 A_host_path 的剩余型定义、正确解释与开放问题</w:t>
      </w:r>
    </w:p>
    <w:p w14:paraId="545E53C0">
      <w:pPr>
        <w:rPr>
          <w:rFonts w:ascii="Times New Roman" w:hAnsi="Times New Roman" w:eastAsia="宋体"/>
          <w:highlight w:val="none"/>
        </w:rPr>
      </w:pPr>
      <w:r>
        <w:rPr>
          <w:rFonts w:ascii="Times New Roman" w:hAnsi="Times New Roman" w:eastAsia="宋体"/>
          <w:color w:val="000000"/>
        </w:rPr>
        <w:t>本研究保留字段名 A_host_path，但明确采用方案 A：它是请求 Host 路径上的剩余型墙钟记账类别，而不是由独立 CPU 计数器直接观测到的 busy time。顶层 A 闭合因此属于分区定义与实现不变量，不能单独证明各类别语义正确。</w:t>
      </w:r>
    </w:p>
    <w:p w14:paraId="10C4860E">
      <w:pPr>
        <w:pStyle w:val="167"/>
        <w:rPr>
          <w:rFonts w:ascii="Times New Roman" w:hAnsi="Times New Roman" w:eastAsia="宋体"/>
          <w:highlight w:val="none"/>
        </w:rPr>
      </w:pPr>
      <w:r>
        <w:rPr>
          <w:rFonts w:ascii="Times New Roman" w:hAnsi="Times New Roman" w:eastAsia="宋体"/>
          <w:color w:val="000000"/>
        </w:rPr>
        <w:t>A_host_path 只有在 invocation ownership、边界和请求推进路径可确认时才接收剩余时间；missing mapping、unsupported sync、多 context ownership 歧义或其他证据不足区间优先进入 A_unattributed。这样可以避免用 Host 补集掩盖观测缺口。</w:t>
      </w:r>
    </w:p>
    <w:p w14:paraId="039137E1">
      <w:pPr>
        <w:pStyle w:val="166"/>
        <w:rPr>
          <w:rFonts w:ascii="Times New Roman" w:hAnsi="Times New Roman" w:eastAsia="宋体"/>
          <w:highlight w:val="none"/>
        </w:rPr>
      </w:pPr>
      <w:r>
        <w:rPr>
          <w:rFonts w:ascii="Times New Roman" w:hAnsi="Times New Roman" w:eastAsia="宋体"/>
          <w:color w:val="000000"/>
        </w:rPr>
        <w:t>进一步区分 Python/framework 执行、CPU 计算、线程等待、调度抢占和运行时内部状态，需要额外的线程状态、CPU sampling 或更细 Host instrumentation。该问题作为本文明确抛出的 CPU 侧剩余路径去卷积难题，而不在当前核心矩阵中强行解决。</w:t>
      </w:r>
    </w:p>
    <w:p w14:paraId="4B7C21E4">
      <w:pPr>
        <w:pStyle w:val="5"/>
        <w:rPr>
          <w:rFonts w:ascii="Times New Roman" w:hAnsi="Times New Roman" w:eastAsia="宋体"/>
        </w:rPr>
      </w:pPr>
      <w:r>
        <w:rPr>
          <w:rFonts w:ascii="Times New Roman" w:hAnsi="Times New Roman" w:eastAsia="宋体"/>
          <w:color w:val="000000"/>
        </w:rPr>
        <w:t>A 类原子时间片的确定性归属优先级</w:t>
      </w:r>
    </w:p>
    <w:p w14:paraId="3EF2D35D">
      <w:pPr>
        <w:rPr>
          <w:rFonts w:ascii="Times New Roman" w:hAnsi="Times New Roman" w:eastAsia="宋体"/>
        </w:rPr>
      </w:pPr>
      <w:r>
        <w:rPr>
          <w:rFonts w:ascii="Times New Roman" w:hAnsi="Times New Roman" w:eastAsia="宋体"/>
          <w:color w:val="000000"/>
        </w:rPr>
        <w:t>分析器先按 invocation、CUDA API、sync 与 device activity 的全部边界切分原子时间片，再依次归属：① invalid/unsupported sync 或 ownership/wait-set 证据不足 → A_unattributed；② valid sync 且 wait-set device activity 正在执行 → A_device_wait；③ valid sync 的其余时间 → A_sync_residual；④ 其余 invocation 相关非阻塞 CUDA API → A_cuda_api；⑤ 其余可归属 Host/CPU 请求推进路径 → A_host_path；剩余证据不足时间 → A_unattributed。该规则对墙钟区间并集执行，不把多线程 duration 直接相加。</w:t>
      </w:r>
    </w:p>
    <w:p w14:paraId="1646EAAC">
      <w:pPr>
        <w:rPr>
          <w:rFonts w:ascii="Times New Roman" w:hAnsi="Times New Roman" w:eastAsia="宋体"/>
        </w:rPr>
      </w:pPr>
      <w:r>
        <w:rPr>
          <w:rFonts w:ascii="Times New Roman" w:hAnsi="Times New Roman" w:eastAsia="宋体"/>
          <w:color w:val="000000"/>
        </w:rPr>
        <w:t>A 类二级指标只在所属一级 A 类内部继续互斥划分，不新增墙钟预算，也不改变顶层 A 类守恒。</w:t>
      </w:r>
    </w:p>
    <w:p w14:paraId="2443C954">
      <w:pPr>
        <w:pStyle w:val="5"/>
        <w:rPr>
          <w:rFonts w:ascii="Times New Roman" w:hAnsi="Times New Roman" w:eastAsia="宋体"/>
        </w:rPr>
      </w:pPr>
      <w:r>
        <w:rPr>
          <w:rFonts w:ascii="Times New Roman" w:hAnsi="Times New Roman" w:eastAsia="宋体"/>
          <w:color w:val="000000"/>
        </w:rPr>
        <w:t>A_cuda_api 二级指标</w:t>
      </w:r>
    </w:p>
    <w:p w14:paraId="66D2C492">
      <w:pPr>
        <w:pStyle w:val="169"/>
        <w:rPr>
          <w:rFonts w:ascii="Times New Roman" w:hAnsi="Times New Roman" w:eastAsia="宋体"/>
        </w:rPr>
      </w:pPr>
      <w:r>
        <w:rPr>
          <w:rFonts w:ascii="Times New Roman" w:hAnsi="Times New Roman" w:eastAsia="宋体"/>
          <w:color w:val="000000"/>
        </w:rPr>
        <w:t>A_cuda_api_ms = A_cuda_api_submit_ms + A_cuda_api_non_submit_ms</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1"/>
        <w:gridCol w:w="2944"/>
        <w:gridCol w:w="3017"/>
      </w:tblGrid>
      <w:tr w14:paraId="66E1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18B6C88E">
            <w:pPr>
              <w:snapToGrid w:val="0"/>
              <w:spacing w:line="240" w:lineRule="auto"/>
              <w:ind w:left="0" w:leftChars="0" w:right="0" w:rightChars="0" w:firstLine="0" w:firstLineChars="0"/>
              <w:jc w:val="center"/>
              <w:rPr>
                <w:rFonts w:ascii="Times New Roman" w:hAnsi="Times New Roman" w:eastAsia="宋体"/>
                <w:b/>
              </w:rPr>
            </w:pPr>
            <w:r>
              <w:rPr>
                <w:rFonts w:ascii="Times New Roman" w:hAnsi="Times New Roman" w:eastAsia="宋体"/>
                <w:b/>
              </w:rPr>
              <w:t>正式字段</w:t>
            </w:r>
          </w:p>
        </w:tc>
        <w:tc>
          <w:tcPr>
            <w:tcW w:w="2944" w:type="dxa"/>
            <w:vAlign w:val="center"/>
          </w:tcPr>
          <w:p w14:paraId="49FAD890">
            <w:pPr>
              <w:snapToGrid w:val="0"/>
              <w:spacing w:line="240" w:lineRule="auto"/>
              <w:ind w:left="0" w:leftChars="0" w:right="0" w:rightChars="0" w:firstLine="0" w:firstLineChars="0"/>
              <w:jc w:val="center"/>
              <w:rPr>
                <w:rFonts w:ascii="Times New Roman" w:hAnsi="Times New Roman" w:eastAsia="宋体"/>
                <w:b/>
              </w:rPr>
            </w:pPr>
            <w:r>
              <w:rPr>
                <w:rFonts w:ascii="Times New Roman" w:hAnsi="Times New Roman" w:eastAsia="宋体"/>
                <w:b/>
              </w:rPr>
              <w:t>严格定义</w:t>
            </w:r>
          </w:p>
        </w:tc>
        <w:tc>
          <w:tcPr>
            <w:tcW w:w="3017" w:type="dxa"/>
            <w:vAlign w:val="center"/>
          </w:tcPr>
          <w:p w14:paraId="4AAE2370">
            <w:pPr>
              <w:snapToGrid w:val="0"/>
              <w:spacing w:line="240" w:lineRule="auto"/>
              <w:ind w:left="0" w:leftChars="0" w:right="0" w:rightChars="0" w:firstLine="0" w:firstLineChars="0"/>
              <w:jc w:val="center"/>
              <w:rPr>
                <w:rFonts w:ascii="Times New Roman" w:hAnsi="Times New Roman" w:eastAsia="宋体"/>
                <w:b/>
              </w:rPr>
            </w:pPr>
            <w:r>
              <w:rPr>
                <w:rFonts w:ascii="Times New Roman" w:hAnsi="Times New Roman" w:eastAsia="宋体"/>
                <w:b/>
              </w:rPr>
              <w:t>解释边界</w:t>
            </w:r>
          </w:p>
        </w:tc>
      </w:tr>
      <w:tr w14:paraId="7B6A4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06F4FA8">
            <w:pPr>
              <w:snapToGrid w:val="0"/>
              <w:spacing w:line="240" w:lineRule="auto"/>
              <w:ind w:left="0" w:leftChars="0" w:right="0" w:rightChars="0" w:firstLine="0" w:firstLineChars="0"/>
              <w:jc w:val="center"/>
              <w:rPr>
                <w:rFonts w:ascii="Times New Roman" w:hAnsi="Times New Roman" w:eastAsia="宋体"/>
              </w:rPr>
            </w:pPr>
            <w:r>
              <w:rPr>
                <w:rFonts w:ascii="Times New Roman" w:hAnsi="Times New Roman" w:eastAsia="宋体"/>
              </w:rPr>
              <w:t>A_cuda_api_submit_ms</w:t>
            </w:r>
          </w:p>
        </w:tc>
        <w:tc>
          <w:tcPr>
            <w:tcW w:w="2944" w:type="dxa"/>
            <w:vAlign w:val="center"/>
          </w:tcPr>
          <w:p w14:paraId="09C23DF4">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A_cuda_api 中用于 kernel launch、memcpy/memset enqueue、graph launch 等提交设备工作的时间片。</w:t>
            </w:r>
          </w:p>
        </w:tc>
        <w:tc>
          <w:tcPr>
            <w:tcW w:w="3017" w:type="dxa"/>
            <w:vAlign w:val="center"/>
          </w:tcPr>
          <w:p w14:paraId="10B0E9C8">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描述 invocation 墙钟中由 submit-class CUDA API 占有的时间；不假设 GPU 必须在 API 返回后才开始，也不能单独解释为 GPU 被 Host launch 阻塞。</w:t>
            </w:r>
          </w:p>
        </w:tc>
      </w:tr>
      <w:tr w14:paraId="76304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61" w:type="dxa"/>
            <w:vAlign w:val="center"/>
          </w:tcPr>
          <w:p w14:paraId="6C2FD7EE">
            <w:pPr>
              <w:snapToGrid w:val="0"/>
              <w:spacing w:line="240" w:lineRule="auto"/>
              <w:ind w:left="0" w:leftChars="0" w:right="0" w:rightChars="0" w:firstLine="0" w:firstLineChars="0"/>
              <w:jc w:val="center"/>
              <w:rPr>
                <w:rFonts w:ascii="Times New Roman" w:hAnsi="Times New Roman" w:eastAsia="宋体"/>
              </w:rPr>
            </w:pPr>
            <w:r>
              <w:rPr>
                <w:rFonts w:ascii="Times New Roman" w:hAnsi="Times New Roman" w:eastAsia="宋体"/>
              </w:rPr>
              <w:t>A_cuda_api_non_submit_ms</w:t>
            </w:r>
          </w:p>
        </w:tc>
        <w:tc>
          <w:tcPr>
            <w:tcW w:w="2944" w:type="dxa"/>
            <w:vAlign w:val="center"/>
          </w:tcPr>
          <w:p w14:paraId="225391BD">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A_cuda_api 中除设备工作提交外的 API 时间，如查询、资源管理、event/stream 管理和其他 runtime/driver 调用。</w:t>
            </w:r>
          </w:p>
        </w:tc>
        <w:tc>
          <w:tcPr>
            <w:tcW w:w="3017" w:type="dxa"/>
            <w:vAlign w:val="center"/>
          </w:tcPr>
          <w:p w14:paraId="6373AE17">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区分“提交过多”与“非提交 API 路径”问题。</w:t>
            </w:r>
          </w:p>
        </w:tc>
      </w:tr>
    </w:tbl>
    <w:p w14:paraId="3E182C24">
      <w:pPr>
        <w:pStyle w:val="5"/>
        <w:rPr>
          <w:rFonts w:ascii="Times New Roman" w:hAnsi="Times New Roman" w:eastAsia="宋体"/>
        </w:rPr>
      </w:pPr>
      <w:r>
        <w:rPr>
          <w:rFonts w:ascii="Times New Roman" w:hAnsi="Times New Roman" w:eastAsia="宋体"/>
          <w:color w:val="000000"/>
        </w:rPr>
        <w:t>A_device_wait 二级指标</w:t>
      </w:r>
    </w:p>
    <w:p w14:paraId="4377223D">
      <w:pPr>
        <w:pStyle w:val="169"/>
        <w:rPr>
          <w:rFonts w:ascii="Times New Roman" w:hAnsi="Times New Roman" w:eastAsia="宋体"/>
        </w:rPr>
      </w:pPr>
      <w:r>
        <w:rPr>
          <w:rFonts w:ascii="Times New Roman" w:hAnsi="Times New Roman" w:eastAsia="宋体"/>
          <w:color w:val="000000"/>
        </w:rPr>
        <w:t>A_device_wait_ms = A_device_wait_kernel_only_ms + A_device_wait_memop_only_ms + A_device_wait_kernel_memop_mixed_ms</w:t>
      </w:r>
    </w:p>
    <w:p w14:paraId="4A96AF56">
      <w:pPr>
        <w:rPr>
          <w:rFonts w:ascii="Times New Roman" w:hAnsi="Times New Roman" w:eastAsia="宋体"/>
        </w:rPr>
      </w:pPr>
      <w:r>
        <w:rPr>
          <w:rFonts w:ascii="Times New Roman" w:hAnsi="Times New Roman" w:eastAsia="宋体"/>
          <w:color w:val="000000"/>
        </w:rPr>
        <w:t>三类指标按有效 wait-set 中被等待 kernel 与显式 MemOp 的并发状态切分原子墙钟片段。每类同时报告绝对时长、占 phase 墙钟比例 pct_phase，以及占 A_device_wait 的内部 share；显式 MemOp 不包括 kernel 内部的显存读写。</w:t>
      </w:r>
    </w:p>
    <w:p w14:paraId="0CE30A14">
      <w:pPr>
        <w:pStyle w:val="5"/>
        <w:rPr>
          <w:rFonts w:ascii="Times New Roman" w:hAnsi="Times New Roman" w:eastAsia="宋体"/>
          <w:highlight w:val="none"/>
        </w:rPr>
      </w:pPr>
      <w:r>
        <w:rPr>
          <w:rFonts w:ascii="Times New Roman" w:hAnsi="Times New Roman" w:eastAsia="宋体"/>
          <w:color w:val="000000"/>
        </w:rPr>
        <w:t>2.4.1 A_device_wait 的解释边界与设备侧辅助证据</w:t>
      </w:r>
    </w:p>
    <w:p w14:paraId="3E564C8F">
      <w:pPr>
        <w:rPr>
          <w:rFonts w:ascii="Times New Roman" w:hAnsi="Times New Roman" w:eastAsia="宋体"/>
          <w:highlight w:val="none"/>
        </w:rPr>
      </w:pPr>
      <w:r>
        <w:rPr>
          <w:rFonts w:ascii="Times New Roman" w:hAnsi="Times New Roman" w:eastAsia="宋体"/>
          <w:color w:val="000000"/>
        </w:rPr>
        <w:t>A_device_wait 表示有效同步等待期间，wait set 中 GPU activity 与 Host 墙钟重叠区间的 interval union。它回答“设备执行有多少暴露在同步等待中”，但不自动等价于显存带宽瓶颈、计算瓶颈、KV Cache 瓶颈或某一类 warp stall。设备执行为什么耗时，应由 Nsight Compute、Roofline、kernel mix 或硬件分析模型在少量代表配置上提供辅助证据。两类证据互补，不得由 A_device_wait 单独推出微架构根因。</w:t>
      </w:r>
    </w:p>
    <w:p w14:paraId="69FE39AE">
      <w:pPr>
        <w:pStyle w:val="5"/>
        <w:rPr>
          <w:rFonts w:ascii="Times New Roman" w:hAnsi="Times New Roman" w:eastAsia="宋体"/>
          <w:highlight w:val="none"/>
        </w:rPr>
      </w:pPr>
      <w:r>
        <w:rPr>
          <w:rFonts w:ascii="Times New Roman" w:hAnsi="Times New Roman" w:eastAsia="宋体"/>
          <w:color w:val="000000"/>
        </w:rPr>
        <w:t>2.4.2 D 的导航作用与 Exposure Signature</w:t>
      </w:r>
    </w:p>
    <w:p>
      <w:pPr/>
      <w:r>
        <w:rPr>
          <w:color w:val="000000"/>
        </w:rPr>
        <w:t>Exposure Signature = {Host path，CUDA submit，CUDA non-submit，device-wait kernel/MemOp/mixed，B hidden/exposed/terminal provenance}。它是冻结 A/B 的机制摘要，不增加新的墙钟预算。</w:t>
      </w:r>
    </w:p>
    <w:p w14:paraId="6B809ABA">
      <w:pPr>
        <w:pStyle w:val="169"/>
        <w:rPr>
          <w:rFonts w:ascii="Times New Roman" w:hAnsi="Times New Roman" w:eastAsia="宋体"/>
          <w:highlight w:val="none"/>
        </w:rPr>
      </w:pPr>
      <w:r>
        <w:rPr>
          <w:rFonts w:ascii="Times New Roman" w:hAnsi="Times New Roman" w:eastAsia="宋体"/>
          <w:color w:val="000000"/>
        </w:rPr>
        <w:t>D_margin,φ = A_device_wait_ms − (A_host_path_ms + A_cuda_api_ms)</w:t>
      </w:r>
    </w:p>
    <w:p w14:paraId="76F46A0E">
      <w:pPr>
        <w:pStyle w:val="169"/>
        <w:rPr>
          <w:rFonts w:ascii="Times New Roman" w:hAnsi="Times New Roman" w:eastAsia="宋体"/>
          <w:highlight w:val="none"/>
        </w:rPr>
      </w:pPr>
      <w:r>
        <w:rPr>
          <w:rFonts w:ascii="Times New Roman" w:hAnsi="Times New Roman" w:eastAsia="宋体"/>
          <w:color w:val="000000"/>
        </w:rPr>
        <w:t>D_score,φ = D_margin,φ / (A_device_wait_ms + A_host_path_ms + A_cuda_api_ms)</w:t>
      </w:r>
    </w:p>
    <w:p w14:paraId="137C9F1A">
      <w:pPr>
        <w:rPr>
          <w:rFonts w:ascii="Times New Roman" w:hAnsi="Times New Roman" w:eastAsia="宋体"/>
          <w:highlight w:val="none"/>
        </w:rPr>
      </w:pPr>
      <w:r>
        <w:rPr>
          <w:rFonts w:ascii="Times New Roman" w:hAnsi="Times New Roman" w:eastAsia="宋体"/>
          <w:color w:val="000000"/>
        </w:rPr>
        <w:t>D 是 A 的派生比较量，不新增墙钟预算，也不表示可消除 speedup。D_margin 保留毫秒量级，D_score 用于跨 W/M/P/C 比较；二者均在 repeat/phase 层先计算，再聚合。</w:t>
      </w:r>
    </w:p>
    <w:p w14:paraId="05E985E5">
      <w:pPr>
        <w:pStyle w:val="167"/>
        <w:rPr>
          <w:rFonts w:ascii="Times New Roman" w:hAnsi="Times New Roman" w:eastAsia="宋体"/>
          <w:highlight w:val="none"/>
        </w:rPr>
      </w:pPr>
      <w:r>
        <w:rPr>
          <w:rFonts w:ascii="Times New Roman" w:hAnsi="Times New Roman" w:eastAsia="宋体"/>
          <w:b w:val="0"/>
          <w:color w:val="000000"/>
        </w:rPr>
        <w:t>条件化迁移报告至少包括：每个 WMPC 的 D_score 均值与 95% CI、固定两个 W 后沿第三个 W 展开的趋势曲线、input×batch 或其他预定义二维网格的无插值热图，以及五类 A 的绝对值和 phase share。只有通过 A 守恒、A_unattributed、sync 支持覆盖和时间边界验收的 repeat 才进入 D 的强结论。</w:t>
      </w:r>
    </w:p>
    <w:p w14:paraId="51B3B159">
      <w:pPr>
        <w:pStyle w:val="168"/>
        <w:rPr>
          <w:rFonts w:ascii="Times New Roman" w:hAnsi="Times New Roman" w:eastAsia="宋体"/>
          <w:highlight w:val="none"/>
        </w:rPr>
      </w:pPr>
      <w:r>
        <w:rPr>
          <w:rFonts w:ascii="Times New Roman" w:hAnsi="Times New Roman" w:eastAsia="宋体"/>
          <w:color w:val="000000"/>
        </w:rPr>
        <w:t>D 只用于定位 Host/API 与 device-wait 的主导区域，不能证明 CPU/GPU 硬件根因或可实现 speedup。核心解释必须继续下钻到 A 二级组成、per-sync W(s)/B provenance 和必要的代表 activity 审计；Exposure Signature 只能由冻结后的 A/B 字段派生。</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3"/>
        <w:gridCol w:w="2581"/>
        <w:gridCol w:w="2088"/>
      </w:tblGrid>
      <w:tr w14:paraId="2ADE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853" w:type="dxa"/>
            <w:vAlign w:val="center"/>
          </w:tcPr>
          <w:p w14:paraId="0DB033DF">
            <w:pPr>
              <w:snapToGrid w:val="0"/>
              <w:spacing w:line="240" w:lineRule="auto"/>
              <w:ind w:left="0" w:leftChars="0" w:right="0" w:rightChars="0" w:firstLine="0" w:firstLineChars="0"/>
              <w:jc w:val="center"/>
              <w:rPr>
                <w:rFonts w:ascii="Times New Roman" w:hAnsi="Times New Roman" w:eastAsia="宋体"/>
                <w:b/>
              </w:rPr>
            </w:pPr>
            <w:r>
              <w:rPr>
                <w:rFonts w:ascii="Times New Roman" w:hAnsi="Times New Roman" w:eastAsia="宋体"/>
                <w:b/>
              </w:rPr>
              <w:t>正式字段</w:t>
            </w:r>
          </w:p>
        </w:tc>
        <w:tc>
          <w:tcPr>
            <w:tcW w:w="2581" w:type="dxa"/>
            <w:vAlign w:val="center"/>
          </w:tcPr>
          <w:p w14:paraId="016CE1A5">
            <w:pPr>
              <w:snapToGrid w:val="0"/>
              <w:spacing w:line="240" w:lineRule="auto"/>
              <w:ind w:left="0" w:leftChars="0" w:right="0" w:rightChars="0" w:firstLine="0" w:firstLineChars="0"/>
              <w:jc w:val="center"/>
              <w:rPr>
                <w:rFonts w:ascii="Times New Roman" w:hAnsi="Times New Roman" w:eastAsia="宋体"/>
                <w:b/>
              </w:rPr>
            </w:pPr>
            <w:r>
              <w:rPr>
                <w:rFonts w:ascii="Times New Roman" w:hAnsi="Times New Roman" w:eastAsia="宋体"/>
                <w:b/>
              </w:rPr>
              <w:t>严格定义</w:t>
            </w:r>
          </w:p>
        </w:tc>
        <w:tc>
          <w:tcPr>
            <w:tcW w:w="2088" w:type="dxa"/>
            <w:vAlign w:val="center"/>
          </w:tcPr>
          <w:p w14:paraId="77246DE4">
            <w:pPr>
              <w:snapToGrid w:val="0"/>
              <w:spacing w:line="240" w:lineRule="auto"/>
              <w:ind w:left="0" w:leftChars="0" w:right="0" w:rightChars="0" w:firstLine="0" w:firstLineChars="0"/>
              <w:jc w:val="center"/>
              <w:rPr>
                <w:rFonts w:ascii="Times New Roman" w:hAnsi="Times New Roman" w:eastAsia="宋体"/>
                <w:b/>
              </w:rPr>
            </w:pPr>
            <w:r>
              <w:rPr>
                <w:rFonts w:ascii="Times New Roman" w:hAnsi="Times New Roman" w:eastAsia="宋体"/>
                <w:b/>
              </w:rPr>
              <w:t>解释边界</w:t>
            </w:r>
          </w:p>
        </w:tc>
      </w:tr>
      <w:tr w14:paraId="2F71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53" w:type="dxa"/>
            <w:vAlign w:val="center"/>
          </w:tcPr>
          <w:p w14:paraId="689D7246">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A_device_wait_kernel_only_ms / pct_phase / share</w:t>
            </w:r>
          </w:p>
        </w:tc>
        <w:tc>
          <w:tcPr>
            <w:tcW w:w="2581" w:type="dxa"/>
            <w:vAlign w:val="center"/>
          </w:tcPr>
          <w:p w14:paraId="0DBE7321">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有效 sync wait-set 内的原子墙钟片段中，至少一个被等待 kernel 正在执行且没有被等待显式 MemOp 执行。</w:t>
            </w:r>
          </w:p>
        </w:tc>
        <w:tc>
          <w:tcPr>
            <w:tcW w:w="2088" w:type="dxa"/>
            <w:vAlign w:val="center"/>
          </w:tcPr>
          <w:p w14:paraId="2CAE55D6">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刻画同步暴露等待中的纯 kernel 执行构成；不能由 terminal_type 推断。</w:t>
            </w:r>
          </w:p>
        </w:tc>
      </w:tr>
      <w:tr w14:paraId="4581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53" w:type="dxa"/>
            <w:vAlign w:val="center"/>
          </w:tcPr>
          <w:p w14:paraId="3E74CCA1">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A_device_wait_memop_only_ms / pct_phase / share</w:t>
            </w:r>
          </w:p>
        </w:tc>
        <w:tc>
          <w:tcPr>
            <w:tcW w:w="2581" w:type="dxa"/>
            <w:vAlign w:val="center"/>
          </w:tcPr>
          <w:p w14:paraId="6BF5914A">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有效 sync wait-set 内，仅有被等待显式 memcpy/memset 等 MemOp 执行、没有被等待 kernel 执行。</w:t>
            </w:r>
          </w:p>
        </w:tc>
        <w:tc>
          <w:tcPr>
            <w:tcW w:w="2088" w:type="dxa"/>
            <w:vAlign w:val="center"/>
          </w:tcPr>
          <w:p w14:paraId="700135B1">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刻画纯显式数据操作暴露等待；MemOp 不包括 kernel 内部 HBM/显存访问。</w:t>
            </w:r>
          </w:p>
        </w:tc>
      </w:tr>
      <w:tr w14:paraId="357A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53" w:type="dxa"/>
            <w:vAlign w:val="center"/>
          </w:tcPr>
          <w:p w14:paraId="28411B01">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A_device_wait_kernel_memop_mixed_ms / pct_phase / share</w:t>
            </w:r>
          </w:p>
        </w:tc>
        <w:tc>
          <w:tcPr>
            <w:tcW w:w="2581" w:type="dxa"/>
            <w:vAlign w:val="center"/>
          </w:tcPr>
          <w:p w14:paraId="332C380D">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有效 sync wait-set 内，被等待 kernel 与显式 MemOp 同时执行的原子墙钟片段。</w:t>
            </w:r>
          </w:p>
        </w:tc>
        <w:tc>
          <w:tcPr>
            <w:tcW w:w="2088" w:type="dxa"/>
            <w:vAlign w:val="center"/>
          </w:tcPr>
          <w:p w14:paraId="629D7108">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保留计算与显式数据操作重叠，避免因最终 terminal 类型而错误吞并 mixed 时间。</w:t>
            </w:r>
          </w:p>
        </w:tc>
      </w:tr>
    </w:tbl>
    <w:p w14:paraId="34D41C7A">
      <w:pPr>
        <w:pStyle w:val="4"/>
        <w:rPr>
          <w:rFonts w:ascii="Times New Roman" w:hAnsi="Times New Roman" w:eastAsia="宋体"/>
        </w:rPr>
      </w:pPr>
      <w:r>
        <w:rPr>
          <w:rFonts w:ascii="Times New Roman" w:hAnsi="Times New Roman" w:eastAsia="宋体"/>
          <w:color w:val="000000"/>
        </w:rPr>
        <w:t>2.5 时间重叠辅助指标：只表示同时发生，不表示依赖或因果</w:t>
      </w:r>
    </w:p>
    <w:p w14:paraId="02534163">
      <w:pPr>
        <w:pStyle w:val="169"/>
        <w:shd w:val="clear" w:fill="F3F5F7"/>
        <w:jc w:val="center"/>
        <w:rPr>
          <w:rFonts w:ascii="Times New Roman" w:hAnsi="Times New Roman" w:eastAsia="宋体"/>
        </w:rPr>
      </w:pPr>
      <w:r>
        <w:rPr>
          <w:rFonts w:ascii="Times New Roman" w:hAnsi="Times New Roman" w:eastAsia="宋体"/>
          <w:b/>
          <w:color w:val="000000"/>
          <w:sz w:val="20"/>
        </w:rPr>
        <w:t>G_invocation_any = invocation 内所有归属明确的 kernel 与显式 MemOp 区间并集</w:t>
      </w:r>
    </w:p>
    <w:p w14:paraId="628A291E">
      <w:pPr>
        <w:pStyle w:val="169"/>
        <w:shd w:val="clear" w:fill="F3F5F7"/>
        <w:jc w:val="center"/>
        <w:rPr>
          <w:rFonts w:ascii="Times New Roman" w:hAnsi="Times New Roman" w:eastAsia="宋体"/>
        </w:rPr>
      </w:pPr>
      <w:r>
        <w:rPr>
          <w:rFonts w:ascii="Times New Roman" w:hAnsi="Times New Roman" w:eastAsia="宋体"/>
          <w:b/>
          <w:color w:val="000000"/>
          <w:sz w:val="20"/>
        </w:rPr>
        <w:t>O_api_gpu_temporal = |I(A_cuda_api) ∩ G_invocation_any| / |I(A_cuda_api)|</w:t>
      </w:r>
    </w:p>
    <w:p w14:paraId="349F373E">
      <w:pPr>
        <w:pStyle w:val="169"/>
        <w:rPr>
          <w:rFonts w:ascii="Times New Roman" w:hAnsi="Times New Roman" w:eastAsia="宋体"/>
        </w:rPr>
      </w:pPr>
      <w:r>
        <w:rPr>
          <w:rFonts w:ascii="Times New Roman" w:hAnsi="Times New Roman" w:eastAsia="宋体"/>
          <w:color w:val="000000"/>
        </w:rPr>
        <w:t>O_hostpath_gpu_temporal = |I(A_host_path) ∩ G_invocation_any| / |I(A_host_path)|</w:t>
      </w:r>
    </w:p>
    <w:p w14:paraId="4E820C5E">
      <w:pPr>
        <w:rPr>
          <w:rFonts w:ascii="Times New Roman" w:hAnsi="Times New Roman" w:eastAsia="宋体"/>
        </w:rPr>
      </w:pPr>
      <w:r>
        <w:rPr>
          <w:rFonts w:ascii="Times New Roman" w:hAnsi="Times New Roman" w:eastAsia="宋体"/>
          <w:color w:val="000000"/>
        </w:rPr>
        <w:t>两个 temporal overlap 指标不使用 API↔GPU correlation，也不使用 sync wait-set。重叠 GPU activity 可能由其他 API 提交、位于其他 stream，或与当前 Host 区间没有直接依赖关系。因此它们只能刻画 phase 级时间并发，不能证明依赖、因果、关键路径覆盖或优化收益。</w:t>
      </w:r>
    </w:p>
    <w:tbl>
      <w:tblPr>
        <w:tblStyle w:val="34"/>
        <w:tblW w:w="84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2925"/>
        <w:gridCol w:w="3109"/>
      </w:tblGrid>
      <w:tr w14:paraId="163D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CE6F1"/>
            <w:tcMar>
              <w:top w:w="70" w:type="dxa"/>
              <w:left w:w="80" w:type="dxa"/>
              <w:bottom w:w="70" w:type="dxa"/>
              <w:right w:w="80" w:type="dxa"/>
            </w:tcMar>
            <w:vAlign w:val="center"/>
          </w:tcPr>
          <w:p w14:paraId="2880B15B">
            <w:pPr>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指标高</w:t>
            </w:r>
          </w:p>
        </w:tc>
        <w:tc>
          <w:tcPr>
            <w:tcW w:w="0" w:type="auto"/>
            <w:shd w:val="clear" w:color="auto" w:fill="DCE6F1"/>
            <w:tcMar>
              <w:top w:w="70" w:type="dxa"/>
              <w:left w:w="80" w:type="dxa"/>
              <w:bottom w:w="70" w:type="dxa"/>
              <w:right w:w="80" w:type="dxa"/>
            </w:tcMar>
            <w:vAlign w:val="center"/>
          </w:tcPr>
          <w:p w14:paraId="47CCCC47">
            <w:pPr>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正确解释</w:t>
            </w:r>
          </w:p>
        </w:tc>
        <w:tc>
          <w:tcPr>
            <w:tcW w:w="3109" w:type="dxa"/>
            <w:shd w:val="clear" w:color="auto" w:fill="DCE6F1"/>
            <w:tcMar>
              <w:top w:w="70" w:type="dxa"/>
              <w:left w:w="80" w:type="dxa"/>
              <w:bottom w:w="70" w:type="dxa"/>
              <w:right w:w="80" w:type="dxa"/>
            </w:tcMar>
            <w:vAlign w:val="center"/>
          </w:tcPr>
          <w:p w14:paraId="32B5625F">
            <w:pPr>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不能解释为</w:t>
            </w:r>
          </w:p>
        </w:tc>
      </w:tr>
      <w:tr w14:paraId="1EB1C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4365387">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O_api_gpu_temporal 高</w:t>
            </w:r>
          </w:p>
        </w:tc>
        <w:tc>
          <w:tcPr>
            <w:tcW w:w="0" w:type="auto"/>
            <w:vAlign w:val="center"/>
          </w:tcPr>
          <w:p w14:paraId="696DEDC2">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A_cuda_api 与 invocation 内某些 GPU activity 在时间上同时发生较多。</w:t>
            </w:r>
          </w:p>
        </w:tc>
        <w:tc>
          <w:tcPr>
            <w:tcW w:w="3109" w:type="dxa"/>
            <w:vAlign w:val="center"/>
          </w:tcPr>
          <w:p w14:paraId="3F33809A">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重叠 GPU activity 由该 API 启动；API 已被自身相关工作隐藏；API 不在关键路径。</w:t>
            </w:r>
          </w:p>
        </w:tc>
      </w:tr>
      <w:tr w14:paraId="62E63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C5DBDAD">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O_hostpath_gpu_temporal 高</w:t>
            </w:r>
          </w:p>
        </w:tc>
        <w:tc>
          <w:tcPr>
            <w:tcW w:w="0" w:type="auto"/>
            <w:vAlign w:val="center"/>
          </w:tcPr>
          <w:p w14:paraId="570E431D">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A_host_path 与 invocation 内某些 GPU activity 的时间并发较多。</w:t>
            </w:r>
          </w:p>
        </w:tc>
        <w:tc>
          <w:tcPr>
            <w:tcW w:w="3109" w:type="dxa"/>
            <w:vAlign w:val="center"/>
          </w:tcPr>
          <w:p w14:paraId="17CD6E35">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Host path 与重叠 GPU activity 存在直接 pipeline 依赖；Host path 一定不重要。</w:t>
            </w:r>
          </w:p>
        </w:tc>
      </w:tr>
      <w:tr w14:paraId="61ABB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32" w:type="dxa"/>
            <w:vAlign w:val="center"/>
          </w:tcPr>
          <w:p w14:paraId="15555C4F">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两者都低</w:t>
            </w:r>
          </w:p>
        </w:tc>
        <w:tc>
          <w:tcPr>
            <w:tcW w:w="2925" w:type="dxa"/>
            <w:vAlign w:val="center"/>
          </w:tcPr>
          <w:p w14:paraId="5B21E1F3">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Host owner 区间与 GPU activity 的时间并发较少。</w:t>
            </w:r>
          </w:p>
        </w:tc>
        <w:tc>
          <w:tcPr>
            <w:tcW w:w="3109" w:type="dxa"/>
            <w:vAlign w:val="center"/>
          </w:tcPr>
          <w:p w14:paraId="7D4771A1">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一定由 CPU 性能不足导致，或一定属于 CPU-bound。</w:t>
            </w:r>
          </w:p>
        </w:tc>
      </w:tr>
    </w:tbl>
    <w:p w14:paraId="16447EF1">
      <w:pPr>
        <w:spacing w:after="20"/>
        <w:rPr>
          <w:rFonts w:ascii="Times New Roman" w:hAnsi="Times New Roman" w:eastAsia="宋体"/>
        </w:rPr>
      </w:pPr>
    </w:p>
    <w:p w14:paraId="54A8E25A">
      <w:pPr>
        <w:pStyle w:val="4"/>
        <w:pageBreakBefore/>
        <w:rPr>
          <w:rFonts w:ascii="Times New Roman" w:hAnsi="Times New Roman" w:eastAsia="宋体"/>
        </w:rPr>
      </w:pPr>
      <w:r>
        <w:rPr>
          <w:rFonts w:ascii="Times New Roman" w:hAnsi="Times New Roman" w:eastAsia="宋体"/>
          <w:color w:val="000000"/>
        </w:rPr>
        <w:t>2.6 B 层：终止活动生命周期与同步暴露必须分开</w:t>
      </w:r>
    </w:p>
    <w:p w14:paraId="42EC2622">
      <w:pPr>
        <w:bidi w:val="0"/>
        <w:rPr>
          <w:rFonts w:ascii="Times New Roman" w:hAnsi="Times New Roman" w:eastAsia="宋体"/>
        </w:rPr>
      </w:pPr>
      <w:r>
        <w:rPr>
          <w:rFonts w:ascii="Times New Roman" w:hAnsi="Times New Roman" w:eastAsia="宋体"/>
          <w:color w:val="000000"/>
        </w:rPr>
        <w:t>terminal 不是简单的全局最大 end_ns。只有同步 completion scope、依赖关系、identity/ownership 和时间容差共同支持唯一完成边界时，才能给出 terminal；并列或证据不足时标记 ambiguous/invalid。关联 launch API 只提供附加 provenance，不决定核心 terminal validity。</w:t>
      </w:r>
    </w:p>
    <w:p w14:paraId="1E23AD32">
      <w:pPr>
        <w:pageBreakBefore w:val="0"/>
        <w:jc w:val="center"/>
        <w:rPr>
          <w:rFonts w:ascii="Times New Roman" w:hAnsi="Times New Roman" w:eastAsia="宋体"/>
        </w:rPr>
      </w:pPr>
      <w:r>
        <w:rPr>
          <w:rFonts w:ascii="Times New Roman" w:hAnsi="Times New Roman" w:eastAsia="宋体"/>
          <w:color w:val="000000"/>
        </w:rPr>
        <w:drawing>
          <wp:inline distT="0" distB="0" distL="114300" distR="114300">
            <wp:extent cx="6126480" cy="2508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6126480" cy="2508755"/>
                    </a:xfrm>
                    <a:prstGeom prst="rect">
                      <a:avLst/>
                    </a:prstGeom>
                  </pic:spPr>
                </pic:pic>
              </a:graphicData>
            </a:graphic>
          </wp:inline>
        </w:drawing>
      </w:r>
    </w:p>
    <w:p w14:paraId="3D1751C5">
      <w:pPr>
        <w:pStyle w:val="15"/>
        <w:ind w:firstLine="0"/>
        <w:rPr>
          <w:rFonts w:ascii="Times New Roman" w:hAnsi="Times New Roman" w:eastAsia="宋体"/>
        </w:rPr>
      </w:pPr>
      <w:r>
        <w:rPr>
          <w:rFonts w:ascii="Times New Roman" w:hAnsi="Times New Roman" w:eastAsia="宋体"/>
          <w:color w:val="000000"/>
        </w:rPr>
        <w:t>图 2-1　B 层时间语义：条件性 post-API 启动诊断与核心 terminal–sync 生命周期</w:t>
      </w:r>
    </w:p>
    <w:p w14:paraId="440494B6">
      <w:pPr>
        <w:pStyle w:val="169"/>
        <w:shd w:val="clear" w:fill="F3F5F7"/>
        <w:jc w:val="center"/>
        <w:rPr>
          <w:rFonts w:ascii="Times New Roman" w:hAnsi="Times New Roman" w:eastAsia="宋体"/>
        </w:rPr>
      </w:pPr>
      <w:r>
        <w:rPr>
          <w:rFonts w:ascii="Times New Roman" w:hAnsi="Times New Roman" w:eastAsia="宋体"/>
          <w:b/>
          <w:color w:val="000000"/>
          <w:sz w:val="20"/>
        </w:rPr>
        <w:t>terminal(s) = unique completion evidence for W(s) under the frozen synchronization semantics</w:t>
      </w:r>
    </w:p>
    <w:p w14:paraId="3FECFB54">
      <w:pPr>
        <w:rPr>
          <w:rFonts w:ascii="Times New Roman" w:hAnsi="Times New Roman" w:eastAsia="宋体"/>
        </w:rPr>
      </w:pPr>
      <w:r>
        <w:rPr>
          <w:rFonts w:ascii="Times New Roman" w:hAnsi="Times New Roman" w:eastAsia="宋体"/>
          <w:color w:val="000000"/>
        </w:rPr>
        <w:t>在冻结规则允许时，terminal 可以由 W(s) 中最后满足 completion condition 的活动表示，但必须先证明候选属于语义依赖并且在时间容差内唯一。terminal 的完整执行可在 sync 前部分或全部完成，因此 terminal duration 不等于同步阻塞时间。</w:t>
      </w:r>
    </w:p>
    <w:p w14:paraId="70E71C99">
      <w:pPr>
        <w:pStyle w:val="4"/>
        <w:pageBreakBefore/>
        <w:rPr>
          <w:rFonts w:ascii="Times New Roman" w:hAnsi="Times New Roman" w:eastAsia="宋体"/>
        </w:rPr>
      </w:pPr>
      <w:r>
        <w:rPr>
          <w:rFonts w:ascii="Times New Roman" w:hAnsi="Times New Roman" w:eastAsia="宋体"/>
          <w:color w:val="000000"/>
        </w:rPr>
        <w:t>2.7 推荐的 B 主指标与派生关系</w:t>
      </w:r>
    </w:p>
    <w:tbl>
      <w:tblPr>
        <w:tblStyle w:val="34"/>
        <w:tblW w:w="96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6"/>
        <w:gridCol w:w="3506"/>
        <w:gridCol w:w="2826"/>
      </w:tblGrid>
      <w:tr w14:paraId="47F4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216" w:type="dxa"/>
            <w:shd w:val="clear" w:color="auto" w:fill="DCE6F1"/>
            <w:tcMar>
              <w:top w:w="70" w:type="dxa"/>
              <w:left w:w="80" w:type="dxa"/>
              <w:bottom w:w="70" w:type="dxa"/>
              <w:right w:w="80" w:type="dxa"/>
            </w:tcMar>
            <w:vAlign w:val="center"/>
          </w:tcPr>
          <w:p w14:paraId="3BDE0143">
            <w:pPr>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字段</w:t>
            </w:r>
          </w:p>
        </w:tc>
        <w:tc>
          <w:tcPr>
            <w:tcW w:w="3216" w:type="dxa"/>
            <w:shd w:val="clear" w:color="auto" w:fill="DCE6F1"/>
            <w:tcMar>
              <w:top w:w="70" w:type="dxa"/>
              <w:left w:w="80" w:type="dxa"/>
              <w:bottom w:w="70" w:type="dxa"/>
              <w:right w:w="80" w:type="dxa"/>
            </w:tcMar>
            <w:vAlign w:val="center"/>
          </w:tcPr>
          <w:p w14:paraId="7B3DDEE0">
            <w:pPr>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公式/定义</w:t>
            </w:r>
          </w:p>
        </w:tc>
        <w:tc>
          <w:tcPr>
            <w:tcW w:w="3216" w:type="dxa"/>
            <w:shd w:val="clear" w:color="auto" w:fill="DCE6F1"/>
            <w:tcMar>
              <w:top w:w="70" w:type="dxa"/>
              <w:left w:w="80" w:type="dxa"/>
              <w:bottom w:w="70" w:type="dxa"/>
              <w:right w:w="80" w:type="dxa"/>
            </w:tcMar>
            <w:vAlign w:val="center"/>
          </w:tcPr>
          <w:p w14:paraId="0EF6B052">
            <w:pPr>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分析作用</w:t>
            </w:r>
          </w:p>
        </w:tc>
      </w:tr>
      <w:tr w14:paraId="3285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6" w:type="dxa"/>
            <w:vAlign w:val="center"/>
          </w:tcPr>
          <w:p w14:paraId="1463B279">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terminal_launch_api_name</w:t>
            </w:r>
          </w:p>
        </w:tc>
        <w:tc>
          <w:tcPr>
            <w:tcW w:w="3216" w:type="dxa"/>
            <w:vAlign w:val="center"/>
          </w:tcPr>
          <w:p w14:paraId="63B9AB6E">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与 terminal 通过 correlation 关联的 CUDA launch、graph launch 或显式 MemOp API 名称。</w:t>
            </w:r>
          </w:p>
        </w:tc>
        <w:tc>
          <w:tcPr>
            <w:tcW w:w="3216" w:type="dxa"/>
            <w:vAlign w:val="center"/>
          </w:tcPr>
          <w:p w14:paraId="3198CE00">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用于说明 Host API 关系；不能把 API 名称等同于真实 command enqueue 时刻。</w:t>
            </w:r>
          </w:p>
        </w:tc>
      </w:tr>
      <w:tr w14:paraId="035A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6" w:type="dxa"/>
            <w:vAlign w:val="center"/>
          </w:tcPr>
          <w:p w14:paraId="798B9FE6">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terminal_launch_api_end_ns</w:t>
            </w:r>
          </w:p>
        </w:tc>
        <w:tc>
          <w:tcPr>
            <w:tcW w:w="3216" w:type="dxa"/>
            <w:vAlign w:val="center"/>
          </w:tcPr>
          <w:p w14:paraId="5557B2B5">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关联 Host CUDA API 的返回时刻。</w:t>
            </w:r>
          </w:p>
        </w:tc>
        <w:tc>
          <w:tcPr>
            <w:tcW w:w="3216" w:type="dxa"/>
            <w:vAlign w:val="center"/>
          </w:tcPr>
          <w:p w14:paraId="55A44533">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它不是 GPU command 的真实 queued/submitted completion。</w:t>
            </w:r>
          </w:p>
        </w:tc>
      </w:tr>
      <w:tr w14:paraId="38E8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6" w:type="dxa"/>
            <w:vAlign w:val="center"/>
          </w:tcPr>
          <w:p w14:paraId="19E07CDE">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terminal_launch_relation_status</w:t>
            </w:r>
          </w:p>
        </w:tc>
        <w:tc>
          <w:tcPr>
            <w:tcW w:w="3216" w:type="dxa"/>
            <w:vAlign w:val="center"/>
          </w:tcPr>
          <w:p w14:paraId="7E4F0955">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POST_API_START、STARTED_BEFORE_API_RETURN、MISSING_LAUNCH_MAP 或 UNSUPPORTED_LAUNCH_MAP。</w:t>
            </w:r>
          </w:p>
        </w:tc>
        <w:tc>
          <w:tcPr>
            <w:tcW w:w="3216" w:type="dxa"/>
            <w:vAlign w:val="center"/>
          </w:tcPr>
          <w:p w14:paraId="1EA76181">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决定三个 post-API 启动字段是否适用；不决定核心 B_valid。</w:t>
            </w:r>
          </w:p>
        </w:tc>
      </w:tr>
      <w:tr w14:paraId="3EB7F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6" w:type="dxa"/>
            <w:vAlign w:val="center"/>
          </w:tcPr>
          <w:p w14:paraId="42F9B496">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terminal_post_api_start_delay_ms</w:t>
            </w:r>
          </w:p>
        </w:tc>
        <w:tc>
          <w:tcPr>
            <w:tcW w:w="3216" w:type="dxa"/>
            <w:vAlign w:val="center"/>
          </w:tcPr>
          <w:p w14:paraId="7D8FA213">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terminal.start − terminal_launch_api_end；仅当 status=POST_API_START 时计算，否则为 null。</w:t>
            </w:r>
          </w:p>
        </w:tc>
        <w:tc>
          <w:tcPr>
            <w:tcW w:w="3216" w:type="dxa"/>
            <w:vAlign w:val="center"/>
          </w:tcPr>
          <w:p w14:paraId="69A81D09">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关联 API 返回后到 terminal 开始之间的可见窗口；不是完整 queue time。</w:t>
            </w:r>
          </w:p>
        </w:tc>
      </w:tr>
      <w:tr w14:paraId="52EDB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6" w:type="dxa"/>
            <w:vAlign w:val="center"/>
          </w:tcPr>
          <w:p w14:paraId="0F9D59B7">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terminal_post_api_predecessor_ms</w:t>
            </w:r>
          </w:p>
        </w:tc>
        <w:tc>
          <w:tcPr>
            <w:tcW w:w="3216" w:type="dxa"/>
            <w:vAlign w:val="center"/>
          </w:tcPr>
          <w:p w14:paraId="3795BB8C">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在 [terminal_launch_api_end, terminal.start) 内，同 stream 更早 GPU activities 的 interval union；仅适用于 POST_API_START。</w:t>
            </w:r>
          </w:p>
        </w:tc>
        <w:tc>
          <w:tcPr>
            <w:tcW w:w="3216" w:type="dxa"/>
            <w:vAlign w:val="center"/>
          </w:tcPr>
          <w:p w14:paraId="23C8F60F">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解释 post-API 启动窗口中可由已知前置设备活动覆盖的部分。</w:t>
            </w:r>
          </w:p>
        </w:tc>
      </w:tr>
      <w:tr w14:paraId="7281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6" w:type="dxa"/>
            <w:vAlign w:val="center"/>
          </w:tcPr>
          <w:p w14:paraId="704D4D8A">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terminal_post_api_uncovered_gap_ms</w:t>
            </w:r>
          </w:p>
        </w:tc>
        <w:tc>
          <w:tcPr>
            <w:tcW w:w="3216" w:type="dxa"/>
            <w:vAlign w:val="center"/>
          </w:tcPr>
          <w:p w14:paraId="00C33D7E">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terminal_post_api_start_delay_ms − terminal_post_api_predecessor_ms；仅适用于 POST_API_START。</w:t>
            </w:r>
          </w:p>
        </w:tc>
        <w:tc>
          <w:tcPr>
            <w:tcW w:w="3216" w:type="dxa"/>
            <w:vAlign w:val="center"/>
          </w:tcPr>
          <w:p w14:paraId="0A19D1CF">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未被已知 predecessor 覆盖的保守 gap；根因未知，不能称为纯 GPU queue、driver delay 或 CPU delay。</w:t>
            </w:r>
          </w:p>
        </w:tc>
      </w:tr>
      <w:tr w14:paraId="3377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6" w:type="dxa"/>
            <w:vAlign w:val="center"/>
          </w:tcPr>
          <w:p w14:paraId="0BC75BE0">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terminal_exec_total_ms</w:t>
            </w:r>
          </w:p>
        </w:tc>
        <w:tc>
          <w:tcPr>
            <w:tcW w:w="3216" w:type="dxa"/>
            <w:vAlign w:val="center"/>
          </w:tcPr>
          <w:p w14:paraId="0E0F23E4">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terminal.end − terminal.start</w:t>
            </w:r>
          </w:p>
        </w:tc>
        <w:tc>
          <w:tcPr>
            <w:tcW w:w="3216" w:type="dxa"/>
            <w:vAlign w:val="center"/>
          </w:tcPr>
          <w:p w14:paraId="14BFC360">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 activity 自身完整执行属性。</w:t>
            </w:r>
          </w:p>
        </w:tc>
      </w:tr>
      <w:tr w14:paraId="1CA7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6" w:type="dxa"/>
            <w:vAlign w:val="center"/>
          </w:tcPr>
          <w:p w14:paraId="2AA97F3A">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terminal_exec_pre_sync_ms</w:t>
            </w:r>
          </w:p>
        </w:tc>
        <w:tc>
          <w:tcPr>
            <w:tcW w:w="3216" w:type="dxa"/>
            <w:vAlign w:val="center"/>
          </w:tcPr>
          <w:p w14:paraId="3D799471">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 interval ∩ (−∞, sync.start)</w:t>
            </w:r>
          </w:p>
        </w:tc>
        <w:tc>
          <w:tcPr>
            <w:tcW w:w="3216" w:type="dxa"/>
            <w:vAlign w:val="center"/>
          </w:tcPr>
          <w:p w14:paraId="134509EA">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Host 开始等待前已执行的 terminal 进度，属于隐藏部分。</w:t>
            </w:r>
          </w:p>
        </w:tc>
      </w:tr>
      <w:tr w14:paraId="7B93B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6" w:type="dxa"/>
            <w:vAlign w:val="center"/>
          </w:tcPr>
          <w:p w14:paraId="0ECF7F22">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terminal_exec_overlap_sync_ms</w:t>
            </w:r>
          </w:p>
        </w:tc>
        <w:tc>
          <w:tcPr>
            <w:tcW w:w="3216" w:type="dxa"/>
            <w:vAlign w:val="center"/>
          </w:tcPr>
          <w:p w14:paraId="463A1EF9">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 interval ∩ sync interval</w:t>
            </w:r>
          </w:p>
        </w:tc>
        <w:tc>
          <w:tcPr>
            <w:tcW w:w="3216" w:type="dxa"/>
            <w:vAlign w:val="center"/>
          </w:tcPr>
          <w:p w14:paraId="43419759">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 对该 sync 的设备执行暴露。</w:t>
            </w:r>
          </w:p>
        </w:tc>
      </w:tr>
      <w:tr w14:paraId="45D50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6" w:type="dxa"/>
            <w:vAlign w:val="center"/>
          </w:tcPr>
          <w:p w14:paraId="1E18C0D4">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terminal_hidden_fraction</w:t>
            </w:r>
          </w:p>
        </w:tc>
        <w:tc>
          <w:tcPr>
            <w:tcW w:w="3216" w:type="dxa"/>
            <w:vAlign w:val="center"/>
          </w:tcPr>
          <w:p w14:paraId="4455C561">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terminal_exec_pre_sync_ms / terminal_exec_total_ms；分母为 0 时为 null。</w:t>
            </w:r>
          </w:p>
        </w:tc>
        <w:tc>
          <w:tcPr>
            <w:tcW w:w="3216" w:type="dxa"/>
            <w:vAlign w:val="center"/>
          </w:tcPr>
          <w:p w14:paraId="33D01DA3">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派生比例，用于跨条件比较隐藏程度。</w:t>
            </w:r>
          </w:p>
        </w:tc>
      </w:tr>
      <w:tr w14:paraId="3FE9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6" w:type="dxa"/>
            <w:vAlign w:val="center"/>
          </w:tcPr>
          <w:p w14:paraId="246EA709">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sync_return_tail_ms</w:t>
            </w:r>
          </w:p>
        </w:tc>
        <w:tc>
          <w:tcPr>
            <w:tcW w:w="3216" w:type="dxa"/>
            <w:vAlign w:val="center"/>
          </w:tcPr>
          <w:p w14:paraId="3471A9AC">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sync.end − terminal.end；仅对 B_valid=true 的记录计算，若结果为负则标记 ordering_invalid。</w:t>
            </w:r>
          </w:p>
        </w:tc>
        <w:tc>
          <w:tcPr>
            <w:tcW w:w="3216" w:type="dxa"/>
            <w:vAlign w:val="center"/>
          </w:tcPr>
          <w:p w14:paraId="5202E5C5">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唯一 terminal 完成后到 sync 返回的保守尾部；不直接命名为 driver/OS 开销。</w:t>
            </w:r>
          </w:p>
        </w:tc>
      </w:tr>
      <w:tr w14:paraId="0583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6" w:type="dxa"/>
            <w:vAlign w:val="center"/>
          </w:tcPr>
          <w:p w14:paraId="50142192">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terminal_exec_post_sync_ms</w:t>
            </w:r>
          </w:p>
        </w:tc>
        <w:tc>
          <w:tcPr>
            <w:tcW w:w="3216" w:type="dxa"/>
            <w:vAlign w:val="center"/>
          </w:tcPr>
          <w:p w14:paraId="6D5D807C">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terminal interval ∩ (sync.end, ∞)</w:t>
            </w:r>
          </w:p>
        </w:tc>
        <w:tc>
          <w:tcPr>
            <w:tcW w:w="3216" w:type="dxa"/>
            <w:vAlign w:val="center"/>
          </w:tcPr>
          <w:p w14:paraId="2C41B33D">
            <w:pPr>
              <w:snapToGrid w:val="0"/>
              <w:spacing w:line="240" w:lineRule="auto"/>
              <w:ind w:left="0" w:leftChars="0" w:right="0" w:rightChars="0" w:firstLine="0" w:firstLineChars="0"/>
              <w:jc w:val="left"/>
              <w:rPr>
                <w:rFonts w:ascii="Times New Roman" w:hAnsi="Times New Roman" w:eastAsia="宋体"/>
              </w:rPr>
            </w:pPr>
            <w:r>
              <w:rPr>
                <w:rFonts w:ascii="Times New Roman" w:hAnsi="Times New Roman" w:eastAsia="宋体"/>
              </w:rPr>
              <w:t>仅一致性验证；B_valid=true 时应为 0，非 0 则 ordering_invalid。</w:t>
            </w:r>
          </w:p>
        </w:tc>
      </w:tr>
    </w:tbl>
    <w:p w14:paraId="2BEBD9D6">
      <w:pPr>
        <w:spacing w:after="20"/>
        <w:rPr>
          <w:rFonts w:ascii="Times New Roman" w:hAnsi="Times New Roman" w:eastAsia="宋体"/>
        </w:rPr>
      </w:pPr>
    </w:p>
    <w:p w14:paraId="3AE03510">
      <w:pPr>
        <w:pStyle w:val="4"/>
        <w:pageBreakBefore/>
        <w:rPr>
          <w:rFonts w:ascii="Times New Roman" w:hAnsi="Times New Roman" w:eastAsia="宋体"/>
        </w:rPr>
      </w:pPr>
      <w:r>
        <w:rPr>
          <w:rFonts w:ascii="Times New Roman" w:hAnsi="Times New Roman" w:eastAsia="宋体"/>
          <w:color w:val="000000"/>
        </w:rPr>
        <w:t>2.8 为什么 pre-sync progress 不能并入 post-API predecessor</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2348"/>
        <w:gridCol w:w="2171"/>
        <w:gridCol w:w="2032"/>
      </w:tblGrid>
      <w:tr w14:paraId="072C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22" w:type="dxa"/>
            <w:shd w:val="clear" w:color="auto" w:fill="DCE6F1"/>
            <w:tcMar>
              <w:top w:w="70" w:type="dxa"/>
              <w:left w:w="80" w:type="dxa"/>
              <w:bottom w:w="70" w:type="dxa"/>
              <w:right w:w="80" w:type="dxa"/>
            </w:tcMar>
            <w:vAlign w:val="center"/>
          </w:tcPr>
          <w:p w14:paraId="04E0B5BC">
            <w:pPr>
              <w:ind w:firstLine="0"/>
              <w:jc w:val="center"/>
              <w:rPr>
                <w:rFonts w:ascii="Times New Roman" w:hAnsi="Times New Roman" w:eastAsia="宋体"/>
              </w:rPr>
            </w:pPr>
            <w:r>
              <w:rPr>
                <w:rFonts w:ascii="Times New Roman" w:hAnsi="Times New Roman" w:eastAsia="宋体"/>
                <w:b/>
                <w:color w:val="19375A"/>
                <w:sz w:val="17"/>
              </w:rPr>
              <w:t>量</w:t>
            </w:r>
          </w:p>
        </w:tc>
        <w:tc>
          <w:tcPr>
            <w:tcW w:w="2422" w:type="dxa"/>
            <w:shd w:val="clear" w:color="auto" w:fill="DCE6F1"/>
            <w:tcMar>
              <w:top w:w="70" w:type="dxa"/>
              <w:left w:w="80" w:type="dxa"/>
              <w:bottom w:w="70" w:type="dxa"/>
              <w:right w:w="80" w:type="dxa"/>
            </w:tcMar>
            <w:vAlign w:val="center"/>
          </w:tcPr>
          <w:p w14:paraId="5BCC72C9">
            <w:pPr>
              <w:ind w:firstLine="0"/>
              <w:jc w:val="center"/>
              <w:rPr>
                <w:rFonts w:ascii="Times New Roman" w:hAnsi="Times New Roman" w:eastAsia="宋体"/>
              </w:rPr>
            </w:pPr>
            <w:r>
              <w:rPr>
                <w:rFonts w:ascii="Times New Roman" w:hAnsi="Times New Roman" w:eastAsia="宋体"/>
                <w:b/>
                <w:color w:val="19375A"/>
                <w:sz w:val="17"/>
              </w:rPr>
              <w:t>发生时序</w:t>
            </w:r>
          </w:p>
        </w:tc>
        <w:tc>
          <w:tcPr>
            <w:tcW w:w="2422" w:type="dxa"/>
            <w:shd w:val="clear" w:color="auto" w:fill="DCE6F1"/>
            <w:tcMar>
              <w:top w:w="70" w:type="dxa"/>
              <w:left w:w="80" w:type="dxa"/>
              <w:bottom w:w="70" w:type="dxa"/>
              <w:right w:w="80" w:type="dxa"/>
            </w:tcMar>
            <w:vAlign w:val="center"/>
          </w:tcPr>
          <w:p w14:paraId="4A3A6437">
            <w:pPr>
              <w:ind w:firstLine="0"/>
              <w:jc w:val="center"/>
              <w:rPr>
                <w:rFonts w:ascii="Times New Roman" w:hAnsi="Times New Roman" w:eastAsia="宋体"/>
              </w:rPr>
            </w:pPr>
            <w:r>
              <w:rPr>
                <w:rFonts w:ascii="Times New Roman" w:hAnsi="Times New Roman" w:eastAsia="宋体"/>
                <w:b/>
                <w:color w:val="19375A"/>
                <w:sz w:val="17"/>
              </w:rPr>
              <w:t>对 terminal 的作用</w:t>
            </w:r>
          </w:p>
        </w:tc>
        <w:tc>
          <w:tcPr>
            <w:tcW w:w="2422" w:type="dxa"/>
            <w:shd w:val="clear" w:color="auto" w:fill="DCE6F1"/>
            <w:tcMar>
              <w:top w:w="70" w:type="dxa"/>
              <w:left w:w="80" w:type="dxa"/>
              <w:bottom w:w="70" w:type="dxa"/>
              <w:right w:w="80" w:type="dxa"/>
            </w:tcMar>
            <w:vAlign w:val="center"/>
          </w:tcPr>
          <w:p w14:paraId="7FD413EE">
            <w:pPr>
              <w:ind w:firstLine="0"/>
              <w:jc w:val="center"/>
              <w:rPr>
                <w:rFonts w:ascii="Times New Roman" w:hAnsi="Times New Roman" w:eastAsia="宋体"/>
              </w:rPr>
            </w:pPr>
            <w:r>
              <w:rPr>
                <w:rFonts w:ascii="Times New Roman" w:hAnsi="Times New Roman" w:eastAsia="宋体"/>
                <w:b/>
                <w:color w:val="19375A"/>
                <w:sz w:val="17"/>
              </w:rPr>
              <w:t>对 sync 暴露的作用</w:t>
            </w:r>
          </w:p>
        </w:tc>
      </w:tr>
      <w:tr w14:paraId="4CCC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3AC896D8">
            <w:pPr>
              <w:spacing w:after="0"/>
              <w:ind w:firstLine="0"/>
              <w:rPr>
                <w:rFonts w:ascii="Times New Roman" w:hAnsi="Times New Roman" w:eastAsia="宋体"/>
              </w:rPr>
            </w:pPr>
            <w:r>
              <w:rPr>
                <w:rFonts w:ascii="Times New Roman" w:hAnsi="Times New Roman" w:eastAsia="宋体"/>
                <w:sz w:val="17"/>
              </w:rPr>
              <w:t>Post-API predecessor（条件性）</w:t>
            </w:r>
          </w:p>
        </w:tc>
        <w:tc>
          <w:tcPr>
            <w:tcW w:w="2324" w:type="dxa"/>
            <w:tcMar>
              <w:top w:w="70" w:type="dxa"/>
              <w:left w:w="80" w:type="dxa"/>
              <w:bottom w:w="70" w:type="dxa"/>
              <w:right w:w="80" w:type="dxa"/>
            </w:tcMar>
            <w:vAlign w:val="center"/>
          </w:tcPr>
          <w:p w14:paraId="2EC65336">
            <w:pPr>
              <w:spacing w:after="0"/>
              <w:ind w:firstLine="0"/>
              <w:rPr>
                <w:rFonts w:ascii="Times New Roman" w:hAnsi="Times New Roman" w:eastAsia="宋体"/>
              </w:rPr>
            </w:pPr>
            <w:r>
              <w:rPr>
                <w:rFonts w:ascii="Times New Roman" w:hAnsi="Times New Roman" w:eastAsia="宋体"/>
                <w:sz w:val="17"/>
              </w:rPr>
              <w:t>status=POST_API_START；API 已返回，terminal 尚未开始</w:t>
            </w:r>
          </w:p>
        </w:tc>
        <w:tc>
          <w:tcPr>
            <w:tcW w:w="2835" w:type="dxa"/>
            <w:tcMar>
              <w:top w:w="70" w:type="dxa"/>
              <w:left w:w="80" w:type="dxa"/>
              <w:bottom w:w="70" w:type="dxa"/>
              <w:right w:w="80" w:type="dxa"/>
            </w:tcMar>
            <w:vAlign w:val="center"/>
          </w:tcPr>
          <w:p w14:paraId="65696F84">
            <w:pPr>
              <w:spacing w:after="0"/>
              <w:ind w:firstLine="0"/>
              <w:rPr>
                <w:rFonts w:ascii="Times New Roman" w:hAnsi="Times New Roman" w:eastAsia="宋体"/>
              </w:rPr>
            </w:pPr>
            <w:r>
              <w:rPr>
                <w:rFonts w:ascii="Times New Roman" w:hAnsi="Times New Roman" w:eastAsia="宋体"/>
                <w:sz w:val="17"/>
              </w:rPr>
              <w:t>解释 post-API 启动窗口中的已知同 stream 前置活动</w:t>
            </w:r>
          </w:p>
        </w:tc>
        <w:tc>
          <w:tcPr>
            <w:tcW w:w="2494" w:type="dxa"/>
            <w:tcMar>
              <w:top w:w="70" w:type="dxa"/>
              <w:left w:w="80" w:type="dxa"/>
              <w:bottom w:w="70" w:type="dxa"/>
              <w:right w:w="80" w:type="dxa"/>
            </w:tcMar>
            <w:vAlign w:val="center"/>
          </w:tcPr>
          <w:p w14:paraId="0A77EBCD">
            <w:pPr>
              <w:spacing w:after="0"/>
              <w:ind w:firstLine="0"/>
              <w:rPr>
                <w:rFonts w:ascii="Times New Roman" w:hAnsi="Times New Roman" w:eastAsia="宋体"/>
              </w:rPr>
            </w:pPr>
            <w:r>
              <w:rPr>
                <w:rFonts w:ascii="Times New Roman" w:hAnsi="Times New Roman" w:eastAsia="宋体"/>
                <w:sz w:val="17"/>
              </w:rPr>
              <w:t>可能延长 post-API start delay；不等于完整 terminal 阻塞</w:t>
            </w:r>
          </w:p>
        </w:tc>
      </w:tr>
      <w:tr w14:paraId="5003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8FAFC"/>
            <w:tcMar>
              <w:top w:w="70" w:type="dxa"/>
              <w:left w:w="80" w:type="dxa"/>
              <w:bottom w:w="70" w:type="dxa"/>
              <w:right w:w="80" w:type="dxa"/>
            </w:tcMar>
            <w:vAlign w:val="center"/>
          </w:tcPr>
          <w:p w14:paraId="7E032681">
            <w:pPr>
              <w:spacing w:after="0"/>
              <w:ind w:firstLine="0"/>
              <w:rPr>
                <w:rFonts w:ascii="Times New Roman" w:hAnsi="Times New Roman" w:eastAsia="宋体"/>
              </w:rPr>
            </w:pPr>
            <w:r>
              <w:rPr>
                <w:rFonts w:ascii="Times New Roman" w:hAnsi="Times New Roman" w:eastAsia="宋体"/>
                <w:sz w:val="17"/>
              </w:rPr>
              <w:t>Post-API uncovered gap（条件性）</w:t>
            </w:r>
          </w:p>
        </w:tc>
        <w:tc>
          <w:tcPr>
            <w:tcW w:w="2324" w:type="dxa"/>
            <w:shd w:val="clear" w:color="auto" w:fill="F8FAFC"/>
            <w:tcMar>
              <w:top w:w="70" w:type="dxa"/>
              <w:left w:w="80" w:type="dxa"/>
              <w:bottom w:w="70" w:type="dxa"/>
              <w:right w:w="80" w:type="dxa"/>
            </w:tcMar>
            <w:vAlign w:val="center"/>
          </w:tcPr>
          <w:p w14:paraId="1E980048">
            <w:pPr>
              <w:spacing w:after="0"/>
              <w:ind w:firstLine="0"/>
              <w:rPr>
                <w:rFonts w:ascii="Times New Roman" w:hAnsi="Times New Roman" w:eastAsia="宋体"/>
              </w:rPr>
            </w:pPr>
            <w:r>
              <w:rPr>
                <w:rFonts w:ascii="Times New Roman" w:hAnsi="Times New Roman" w:eastAsia="宋体"/>
                <w:sz w:val="17"/>
              </w:rPr>
              <w:t>status=POST_API_START；API 已返回，terminal 尚未开始</w:t>
            </w:r>
          </w:p>
        </w:tc>
        <w:tc>
          <w:tcPr>
            <w:tcW w:w="2835" w:type="dxa"/>
            <w:shd w:val="clear" w:color="auto" w:fill="F8FAFC"/>
            <w:tcMar>
              <w:top w:w="70" w:type="dxa"/>
              <w:left w:w="80" w:type="dxa"/>
              <w:bottom w:w="70" w:type="dxa"/>
              <w:right w:w="80" w:type="dxa"/>
            </w:tcMar>
            <w:vAlign w:val="center"/>
          </w:tcPr>
          <w:p w14:paraId="477D128C">
            <w:pPr>
              <w:spacing w:after="0"/>
              <w:ind w:firstLine="0"/>
              <w:rPr>
                <w:rFonts w:ascii="Times New Roman" w:hAnsi="Times New Roman" w:eastAsia="宋体"/>
              </w:rPr>
            </w:pPr>
            <w:r>
              <w:rPr>
                <w:rFonts w:ascii="Times New Roman" w:hAnsi="Times New Roman" w:eastAsia="宋体"/>
                <w:sz w:val="17"/>
              </w:rPr>
              <w:t>post-API 窗口内没有已知 predecessor 覆盖</w:t>
            </w:r>
          </w:p>
        </w:tc>
        <w:tc>
          <w:tcPr>
            <w:tcW w:w="2494" w:type="dxa"/>
            <w:shd w:val="clear" w:color="auto" w:fill="F8FAFC"/>
            <w:tcMar>
              <w:top w:w="70" w:type="dxa"/>
              <w:left w:w="80" w:type="dxa"/>
              <w:bottom w:w="70" w:type="dxa"/>
              <w:right w:w="80" w:type="dxa"/>
            </w:tcMar>
            <w:vAlign w:val="center"/>
          </w:tcPr>
          <w:p w14:paraId="2CA5B578">
            <w:pPr>
              <w:spacing w:after="0"/>
              <w:ind w:firstLine="0"/>
              <w:rPr>
                <w:rFonts w:ascii="Times New Roman" w:hAnsi="Times New Roman" w:eastAsia="宋体"/>
              </w:rPr>
            </w:pPr>
            <w:r>
              <w:rPr>
                <w:rFonts w:ascii="Times New Roman" w:hAnsi="Times New Roman" w:eastAsia="宋体"/>
                <w:sz w:val="17"/>
              </w:rPr>
              <w:t>根因未知；不能命名为纯 GPU queue、driver 或 CPU delay</w:t>
            </w:r>
          </w:p>
        </w:tc>
      </w:tr>
      <w:tr w14:paraId="42FB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4487C517">
            <w:pPr>
              <w:spacing w:after="0"/>
              <w:ind w:firstLine="0"/>
              <w:rPr>
                <w:rFonts w:ascii="Times New Roman" w:hAnsi="Times New Roman" w:eastAsia="宋体"/>
              </w:rPr>
            </w:pPr>
            <w:r>
              <w:rPr>
                <w:rFonts w:ascii="Times New Roman" w:hAnsi="Times New Roman" w:eastAsia="宋体"/>
                <w:sz w:val="17"/>
              </w:rPr>
              <w:t>Terminal pre-sync progress</w:t>
            </w:r>
          </w:p>
        </w:tc>
        <w:tc>
          <w:tcPr>
            <w:tcW w:w="2324" w:type="dxa"/>
            <w:tcMar>
              <w:top w:w="70" w:type="dxa"/>
              <w:left w:w="80" w:type="dxa"/>
              <w:bottom w:w="70" w:type="dxa"/>
              <w:right w:w="80" w:type="dxa"/>
            </w:tcMar>
            <w:vAlign w:val="center"/>
          </w:tcPr>
          <w:p w14:paraId="50919398">
            <w:pPr>
              <w:spacing w:after="0"/>
              <w:ind w:firstLine="0"/>
              <w:rPr>
                <w:rFonts w:ascii="Times New Roman" w:hAnsi="Times New Roman" w:eastAsia="宋体"/>
              </w:rPr>
            </w:pPr>
            <w:r>
              <w:rPr>
                <w:rFonts w:ascii="Times New Roman" w:hAnsi="Times New Roman" w:eastAsia="宋体"/>
                <w:sz w:val="17"/>
              </w:rPr>
              <w:t>terminal 已经开始，sync 尚未开始</w:t>
            </w:r>
          </w:p>
        </w:tc>
        <w:tc>
          <w:tcPr>
            <w:tcW w:w="2835" w:type="dxa"/>
            <w:tcMar>
              <w:top w:w="70" w:type="dxa"/>
              <w:left w:w="80" w:type="dxa"/>
              <w:bottom w:w="70" w:type="dxa"/>
              <w:right w:w="80" w:type="dxa"/>
            </w:tcMar>
            <w:vAlign w:val="center"/>
          </w:tcPr>
          <w:p w14:paraId="32B90E5A">
            <w:pPr>
              <w:spacing w:after="0"/>
              <w:ind w:firstLine="0"/>
              <w:rPr>
                <w:rFonts w:ascii="Times New Roman" w:hAnsi="Times New Roman" w:eastAsia="宋体"/>
              </w:rPr>
            </w:pPr>
            <w:r>
              <w:rPr>
                <w:rFonts w:ascii="Times New Roman" w:hAnsi="Times New Roman" w:eastAsia="宋体"/>
                <w:sz w:val="17"/>
              </w:rPr>
              <w:t>推进 terminal 自身执行</w:t>
            </w:r>
          </w:p>
        </w:tc>
        <w:tc>
          <w:tcPr>
            <w:tcW w:w="2494" w:type="dxa"/>
            <w:tcMar>
              <w:top w:w="70" w:type="dxa"/>
              <w:left w:w="80" w:type="dxa"/>
              <w:bottom w:w="70" w:type="dxa"/>
              <w:right w:w="80" w:type="dxa"/>
            </w:tcMar>
            <w:vAlign w:val="center"/>
          </w:tcPr>
          <w:p w14:paraId="3E93EFAC">
            <w:pPr>
              <w:spacing w:after="0"/>
              <w:ind w:firstLine="0"/>
              <w:rPr>
                <w:rFonts w:ascii="Times New Roman" w:hAnsi="Times New Roman" w:eastAsia="宋体"/>
              </w:rPr>
            </w:pPr>
            <w:r>
              <w:rPr>
                <w:rFonts w:ascii="Times New Roman" w:hAnsi="Times New Roman" w:eastAsia="宋体"/>
                <w:sz w:val="17"/>
              </w:rPr>
              <w:t>减少 sync 开始时剩余执行，属于隐藏收益</w:t>
            </w:r>
          </w:p>
        </w:tc>
      </w:tr>
      <w:tr w14:paraId="3977D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8FAFC"/>
            <w:tcMar>
              <w:top w:w="70" w:type="dxa"/>
              <w:left w:w="80" w:type="dxa"/>
              <w:bottom w:w="70" w:type="dxa"/>
              <w:right w:w="80" w:type="dxa"/>
            </w:tcMar>
            <w:vAlign w:val="center"/>
          </w:tcPr>
          <w:p w14:paraId="33029634">
            <w:pPr>
              <w:spacing w:after="0"/>
              <w:ind w:firstLine="0"/>
              <w:rPr>
                <w:rFonts w:ascii="Times New Roman" w:hAnsi="Times New Roman" w:eastAsia="宋体"/>
              </w:rPr>
            </w:pPr>
            <w:r>
              <w:rPr>
                <w:rFonts w:ascii="Times New Roman" w:hAnsi="Times New Roman" w:eastAsia="宋体"/>
                <w:sz w:val="17"/>
              </w:rPr>
              <w:t>Terminal overlap with sync</w:t>
            </w:r>
          </w:p>
        </w:tc>
        <w:tc>
          <w:tcPr>
            <w:tcW w:w="2324" w:type="dxa"/>
            <w:shd w:val="clear" w:color="auto" w:fill="F8FAFC"/>
            <w:tcMar>
              <w:top w:w="70" w:type="dxa"/>
              <w:left w:w="80" w:type="dxa"/>
              <w:bottom w:w="70" w:type="dxa"/>
              <w:right w:w="80" w:type="dxa"/>
            </w:tcMar>
            <w:vAlign w:val="center"/>
          </w:tcPr>
          <w:p w14:paraId="0D234496">
            <w:pPr>
              <w:spacing w:after="0"/>
              <w:ind w:firstLine="0"/>
              <w:rPr>
                <w:rFonts w:ascii="Times New Roman" w:hAnsi="Times New Roman" w:eastAsia="宋体"/>
              </w:rPr>
            </w:pPr>
            <w:r>
              <w:rPr>
                <w:rFonts w:ascii="Times New Roman" w:hAnsi="Times New Roman" w:eastAsia="宋体"/>
                <w:sz w:val="17"/>
              </w:rPr>
              <w:t>terminal 与 sync 同时存在</w:t>
            </w:r>
          </w:p>
        </w:tc>
        <w:tc>
          <w:tcPr>
            <w:tcW w:w="2835" w:type="dxa"/>
            <w:shd w:val="clear" w:color="auto" w:fill="F8FAFC"/>
            <w:tcMar>
              <w:top w:w="70" w:type="dxa"/>
              <w:left w:w="80" w:type="dxa"/>
              <w:bottom w:w="70" w:type="dxa"/>
              <w:right w:w="80" w:type="dxa"/>
            </w:tcMar>
            <w:vAlign w:val="center"/>
          </w:tcPr>
          <w:p w14:paraId="55DDAFE4">
            <w:pPr>
              <w:spacing w:after="0"/>
              <w:ind w:firstLine="0"/>
              <w:rPr>
                <w:rFonts w:ascii="Times New Roman" w:hAnsi="Times New Roman" w:eastAsia="宋体"/>
              </w:rPr>
            </w:pPr>
            <w:r>
              <w:rPr>
                <w:rFonts w:ascii="Times New Roman" w:hAnsi="Times New Roman" w:eastAsia="宋体"/>
                <w:sz w:val="17"/>
              </w:rPr>
              <w:t>完成 terminal 剩余执行</w:t>
            </w:r>
          </w:p>
        </w:tc>
        <w:tc>
          <w:tcPr>
            <w:tcW w:w="2494" w:type="dxa"/>
            <w:shd w:val="clear" w:color="auto" w:fill="F8FAFC"/>
            <w:tcMar>
              <w:top w:w="70" w:type="dxa"/>
              <w:left w:w="80" w:type="dxa"/>
              <w:bottom w:w="70" w:type="dxa"/>
              <w:right w:w="80" w:type="dxa"/>
            </w:tcMar>
            <w:vAlign w:val="center"/>
          </w:tcPr>
          <w:p w14:paraId="6E93205F">
            <w:pPr>
              <w:spacing w:after="0"/>
              <w:ind w:firstLine="0"/>
              <w:rPr>
                <w:rFonts w:ascii="Times New Roman" w:hAnsi="Times New Roman" w:eastAsia="宋体"/>
              </w:rPr>
            </w:pPr>
            <w:r>
              <w:rPr>
                <w:rFonts w:ascii="Times New Roman" w:hAnsi="Times New Roman" w:eastAsia="宋体"/>
                <w:sz w:val="17"/>
              </w:rPr>
              <w:t>增加 A_device_wait 的暴露部分</w:t>
            </w:r>
          </w:p>
        </w:tc>
      </w:tr>
    </w:tbl>
    <w:p w14:paraId="2F4E1F03">
      <w:pPr>
        <w:spacing w:after="20"/>
        <w:rPr>
          <w:rFonts w:ascii="Times New Roman" w:hAnsi="Times New Roman" w:eastAsia="宋体"/>
        </w:rPr>
      </w:pPr>
    </w:p>
    <w:p w14:paraId="49E28613">
      <w:pPr>
        <w:pStyle w:val="168"/>
        <w:shd w:val="clear" w:fill="FFF3D6"/>
        <w:rPr>
          <w:rFonts w:ascii="Times New Roman" w:hAnsi="Times New Roman" w:eastAsia="宋体"/>
        </w:rPr>
      </w:pPr>
      <w:r>
        <w:rPr>
          <w:rFonts w:ascii="Times New Roman" w:hAnsi="Times New Roman" w:eastAsia="宋体"/>
          <w:b w:val="0"/>
          <w:color w:val="000000"/>
        </w:rPr>
        <w:t>把 terminal_post_api_predecessor 与 terminal pre-sync progress 相加，会把“API 返回后延迟 terminal 启动的条件性前置活动”和“terminal 已经提前完成、降低剩余等待的执行进度”混为同一种 blocker，可能得到方向相反的优化判断。</w:t>
      </w:r>
    </w:p>
    <w:p w14:paraId="4F7A58C4">
      <w:pPr>
        <w:rPr>
          <w:rFonts w:ascii="Times New Roman" w:hAnsi="Times New Roman" w:eastAsia="宋体"/>
        </w:rPr>
      </w:pPr>
      <w:r>
        <w:rPr>
          <w:rFonts w:ascii="Times New Roman" w:hAnsi="Times New Roman" w:eastAsia="宋体"/>
          <w:color w:val="000000"/>
        </w:rPr>
        <w:t>紧凑摘要应优先报告所有 B_valid 记录的 `terminal_exec_pre_sync_ms`、`terminal_exec_overlap_sync_ms`、`terminal_hidden_fraction` 与 `sync_return_tail_ms`；三个 `terminal_post_api_*` 指标只在 status=POST_API_START 子集上报告，并必须同时给出该状态覆盖比例。terminal_exec_post_sync_ms 只作一致性检查。</w:t>
      </w:r>
    </w:p>
    <w:p w14:paraId="39550149">
      <w:pPr>
        <w:pStyle w:val="4"/>
        <w:rPr>
          <w:rFonts w:ascii="Times New Roman" w:hAnsi="Times New Roman" w:eastAsia="宋体"/>
        </w:rPr>
      </w:pPr>
      <w:r>
        <w:rPr>
          <w:rFonts w:ascii="Times New Roman" w:hAnsi="Times New Roman" w:eastAsia="宋体"/>
          <w:color w:val="000000"/>
        </w:rPr>
        <w:t>2.9 A 与 B 的对应关系</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83"/>
        <w:gridCol w:w="1787"/>
        <w:gridCol w:w="1787"/>
      </w:tblGrid>
      <w:tr w14:paraId="63D6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22" w:type="dxa"/>
            <w:shd w:val="clear" w:color="auto" w:fill="DCE6F1"/>
            <w:tcMar>
              <w:top w:w="70" w:type="dxa"/>
              <w:left w:w="80" w:type="dxa"/>
              <w:bottom w:w="70" w:type="dxa"/>
              <w:right w:w="80" w:type="dxa"/>
            </w:tcMar>
            <w:vAlign w:val="center"/>
          </w:tcPr>
          <w:p w14:paraId="3A14BF9A">
            <w:pPr>
              <w:ind w:firstLine="0"/>
              <w:jc w:val="center"/>
              <w:rPr>
                <w:rFonts w:ascii="Times New Roman" w:hAnsi="Times New Roman" w:eastAsia="宋体"/>
              </w:rPr>
            </w:pPr>
            <w:r>
              <w:rPr>
                <w:rFonts w:ascii="Times New Roman" w:hAnsi="Times New Roman" w:eastAsia="宋体"/>
                <w:b/>
                <w:color w:val="19375A"/>
                <w:sz w:val="17"/>
              </w:rPr>
              <w:t>层次</w:t>
            </w:r>
          </w:p>
        </w:tc>
        <w:tc>
          <w:tcPr>
            <w:tcW w:w="2422" w:type="dxa"/>
            <w:shd w:val="clear" w:color="auto" w:fill="DCE6F1"/>
            <w:tcMar>
              <w:top w:w="70" w:type="dxa"/>
              <w:left w:w="80" w:type="dxa"/>
              <w:bottom w:w="70" w:type="dxa"/>
              <w:right w:w="80" w:type="dxa"/>
            </w:tcMar>
            <w:vAlign w:val="center"/>
          </w:tcPr>
          <w:p w14:paraId="27CA6D01">
            <w:pPr>
              <w:ind w:firstLine="0"/>
              <w:jc w:val="center"/>
              <w:rPr>
                <w:rFonts w:ascii="Times New Roman" w:hAnsi="Times New Roman" w:eastAsia="宋体"/>
              </w:rPr>
            </w:pPr>
            <w:r>
              <w:rPr>
                <w:rFonts w:ascii="Times New Roman" w:hAnsi="Times New Roman" w:eastAsia="宋体"/>
                <w:b/>
                <w:color w:val="19375A"/>
                <w:sz w:val="17"/>
              </w:rPr>
              <w:t>分析对象</w:t>
            </w:r>
          </w:p>
        </w:tc>
        <w:tc>
          <w:tcPr>
            <w:tcW w:w="2422" w:type="dxa"/>
            <w:shd w:val="clear" w:color="auto" w:fill="DCE6F1"/>
            <w:tcMar>
              <w:top w:w="70" w:type="dxa"/>
              <w:left w:w="80" w:type="dxa"/>
              <w:bottom w:w="70" w:type="dxa"/>
              <w:right w:w="80" w:type="dxa"/>
            </w:tcMar>
            <w:vAlign w:val="center"/>
          </w:tcPr>
          <w:p w14:paraId="62A6FAA6">
            <w:pPr>
              <w:ind w:firstLine="0"/>
              <w:jc w:val="center"/>
              <w:rPr>
                <w:rFonts w:ascii="Times New Roman" w:hAnsi="Times New Roman" w:eastAsia="宋体"/>
              </w:rPr>
            </w:pPr>
            <w:r>
              <w:rPr>
                <w:rFonts w:ascii="Times New Roman" w:hAnsi="Times New Roman" w:eastAsia="宋体"/>
                <w:b/>
                <w:color w:val="19375A"/>
                <w:sz w:val="17"/>
              </w:rPr>
              <w:t>能否跨 sync 求和</w:t>
            </w:r>
          </w:p>
        </w:tc>
        <w:tc>
          <w:tcPr>
            <w:tcW w:w="2422" w:type="dxa"/>
            <w:shd w:val="clear" w:color="auto" w:fill="DCE6F1"/>
            <w:tcMar>
              <w:top w:w="70" w:type="dxa"/>
              <w:left w:w="80" w:type="dxa"/>
              <w:bottom w:w="70" w:type="dxa"/>
              <w:right w:w="80" w:type="dxa"/>
            </w:tcMar>
            <w:vAlign w:val="center"/>
          </w:tcPr>
          <w:p w14:paraId="1C864181">
            <w:pPr>
              <w:ind w:firstLine="0"/>
              <w:jc w:val="center"/>
              <w:rPr>
                <w:rFonts w:ascii="Times New Roman" w:hAnsi="Times New Roman" w:eastAsia="宋体"/>
              </w:rPr>
            </w:pPr>
            <w:r>
              <w:rPr>
                <w:rFonts w:ascii="Times New Roman" w:hAnsi="Times New Roman" w:eastAsia="宋体"/>
                <w:b/>
                <w:color w:val="19375A"/>
                <w:sz w:val="17"/>
              </w:rPr>
              <w:t>与 request latency 的关系</w:t>
            </w:r>
          </w:p>
        </w:tc>
      </w:tr>
      <w:tr w14:paraId="5816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29A3A72">
            <w:pPr>
              <w:spacing w:after="0"/>
              <w:ind w:firstLine="0"/>
              <w:rPr>
                <w:rFonts w:ascii="Times New Roman" w:hAnsi="Times New Roman" w:eastAsia="宋体"/>
              </w:rPr>
            </w:pPr>
            <w:r>
              <w:rPr>
                <w:rFonts w:ascii="Times New Roman" w:hAnsi="Times New Roman" w:eastAsia="宋体"/>
                <w:sz w:val="17"/>
              </w:rPr>
              <w:t>A</w:t>
            </w:r>
          </w:p>
        </w:tc>
        <w:tc>
          <w:tcPr>
            <w:tcW w:w="3969" w:type="dxa"/>
            <w:tcMar>
              <w:top w:w="70" w:type="dxa"/>
              <w:left w:w="80" w:type="dxa"/>
              <w:bottom w:w="70" w:type="dxa"/>
              <w:right w:w="80" w:type="dxa"/>
            </w:tcMar>
            <w:vAlign w:val="center"/>
          </w:tcPr>
          <w:p w14:paraId="49866F5B">
            <w:pPr>
              <w:spacing w:after="0"/>
              <w:ind w:firstLine="0"/>
              <w:rPr>
                <w:rFonts w:ascii="Times New Roman" w:hAnsi="Times New Roman" w:eastAsia="宋体"/>
              </w:rPr>
            </w:pPr>
            <w:r>
              <w:rPr>
                <w:rFonts w:ascii="Times New Roman" w:hAnsi="Times New Roman" w:eastAsia="宋体"/>
                <w:sz w:val="17"/>
              </w:rPr>
              <w:t>整个 request/phase 的互斥墙钟区间</w:t>
            </w:r>
          </w:p>
        </w:tc>
        <w:tc>
          <w:tcPr>
            <w:tcW w:w="2268" w:type="dxa"/>
            <w:tcMar>
              <w:top w:w="70" w:type="dxa"/>
              <w:left w:w="80" w:type="dxa"/>
              <w:bottom w:w="70" w:type="dxa"/>
              <w:right w:w="80" w:type="dxa"/>
            </w:tcMar>
            <w:vAlign w:val="center"/>
          </w:tcPr>
          <w:p w14:paraId="520E48B7">
            <w:pPr>
              <w:spacing w:after="0"/>
              <w:ind w:firstLine="0"/>
              <w:rPr>
                <w:rFonts w:ascii="Times New Roman" w:hAnsi="Times New Roman" w:eastAsia="宋体"/>
              </w:rPr>
            </w:pPr>
            <w:r>
              <w:rPr>
                <w:rFonts w:ascii="Times New Roman" w:hAnsi="Times New Roman" w:eastAsia="宋体"/>
                <w:sz w:val="17"/>
              </w:rPr>
              <w:t>可以；五类守恒</w:t>
            </w:r>
          </w:p>
        </w:tc>
        <w:tc>
          <w:tcPr>
            <w:tcW w:w="2381" w:type="dxa"/>
            <w:tcMar>
              <w:top w:w="70" w:type="dxa"/>
              <w:left w:w="80" w:type="dxa"/>
              <w:bottom w:w="70" w:type="dxa"/>
              <w:right w:w="80" w:type="dxa"/>
            </w:tcMar>
            <w:vAlign w:val="center"/>
          </w:tcPr>
          <w:p w14:paraId="31A79C79">
            <w:pPr>
              <w:spacing w:after="0"/>
              <w:ind w:firstLine="0"/>
              <w:rPr>
                <w:rFonts w:ascii="Times New Roman" w:hAnsi="Times New Roman" w:eastAsia="宋体"/>
              </w:rPr>
            </w:pPr>
            <w:r>
              <w:rPr>
                <w:rFonts w:ascii="Times New Roman" w:hAnsi="Times New Roman" w:eastAsia="宋体"/>
                <w:sz w:val="17"/>
              </w:rPr>
              <w:t>直接组成 request/phase latency</w:t>
            </w:r>
          </w:p>
        </w:tc>
      </w:tr>
      <w:tr w14:paraId="59A7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8FAFC"/>
            <w:tcMar>
              <w:top w:w="70" w:type="dxa"/>
              <w:left w:w="80" w:type="dxa"/>
              <w:bottom w:w="70" w:type="dxa"/>
              <w:right w:w="80" w:type="dxa"/>
            </w:tcMar>
            <w:vAlign w:val="center"/>
          </w:tcPr>
          <w:p w14:paraId="28AE1403">
            <w:pPr>
              <w:spacing w:after="0"/>
              <w:ind w:firstLine="0"/>
              <w:rPr>
                <w:rFonts w:ascii="Times New Roman" w:hAnsi="Times New Roman" w:eastAsia="宋体"/>
              </w:rPr>
            </w:pPr>
            <w:r>
              <w:rPr>
                <w:rFonts w:ascii="Times New Roman" w:hAnsi="Times New Roman" w:eastAsia="宋体"/>
                <w:sz w:val="17"/>
              </w:rPr>
              <w:t>B</w:t>
            </w:r>
          </w:p>
        </w:tc>
        <w:tc>
          <w:tcPr>
            <w:tcW w:w="3969" w:type="dxa"/>
            <w:shd w:val="clear" w:color="auto" w:fill="F8FAFC"/>
            <w:tcMar>
              <w:top w:w="70" w:type="dxa"/>
              <w:left w:w="80" w:type="dxa"/>
              <w:bottom w:w="70" w:type="dxa"/>
              <w:right w:w="80" w:type="dxa"/>
            </w:tcMar>
            <w:vAlign w:val="center"/>
          </w:tcPr>
          <w:p w14:paraId="665FE32D">
            <w:pPr>
              <w:spacing w:after="0"/>
              <w:ind w:firstLine="0"/>
              <w:rPr>
                <w:rFonts w:ascii="Times New Roman" w:hAnsi="Times New Roman" w:eastAsia="宋体"/>
              </w:rPr>
            </w:pPr>
            <w:r>
              <w:rPr>
                <w:rFonts w:ascii="Times New Roman" w:hAnsi="Times New Roman" w:eastAsia="宋体"/>
                <w:sz w:val="17"/>
              </w:rPr>
              <w:t>单个 sync 选定 terminal 的生命周期和局部尾部</w:t>
            </w:r>
          </w:p>
        </w:tc>
        <w:tc>
          <w:tcPr>
            <w:tcW w:w="2268" w:type="dxa"/>
            <w:shd w:val="clear" w:color="auto" w:fill="F8FAFC"/>
            <w:tcMar>
              <w:top w:w="70" w:type="dxa"/>
              <w:left w:w="80" w:type="dxa"/>
              <w:bottom w:w="70" w:type="dxa"/>
              <w:right w:w="80" w:type="dxa"/>
            </w:tcMar>
            <w:vAlign w:val="center"/>
          </w:tcPr>
          <w:p w14:paraId="7F9E4D32">
            <w:pPr>
              <w:spacing w:after="0"/>
              <w:ind w:firstLine="0"/>
              <w:rPr>
                <w:rFonts w:ascii="Times New Roman" w:hAnsi="Times New Roman" w:eastAsia="宋体"/>
              </w:rPr>
            </w:pPr>
            <w:r>
              <w:rPr>
                <w:rFonts w:ascii="Times New Roman" w:hAnsi="Times New Roman" w:eastAsia="宋体"/>
                <w:sz w:val="17"/>
              </w:rPr>
              <w:t>不可以</w:t>
            </w:r>
          </w:p>
        </w:tc>
        <w:tc>
          <w:tcPr>
            <w:tcW w:w="2381" w:type="dxa"/>
            <w:shd w:val="clear" w:color="auto" w:fill="F8FAFC"/>
            <w:tcMar>
              <w:top w:w="70" w:type="dxa"/>
              <w:left w:w="80" w:type="dxa"/>
              <w:bottom w:w="70" w:type="dxa"/>
              <w:right w:w="80" w:type="dxa"/>
            </w:tcMar>
            <w:vAlign w:val="center"/>
          </w:tcPr>
          <w:p w14:paraId="2FC6981C">
            <w:pPr>
              <w:spacing w:after="0"/>
              <w:ind w:firstLine="0"/>
              <w:rPr>
                <w:rFonts w:ascii="Times New Roman" w:hAnsi="Times New Roman" w:eastAsia="宋体"/>
              </w:rPr>
            </w:pPr>
            <w:r>
              <w:rPr>
                <w:rFonts w:ascii="Times New Roman" w:hAnsi="Times New Roman" w:eastAsia="宋体"/>
                <w:sz w:val="17"/>
              </w:rPr>
              <w:t>用于解释案例和分布，不是 phase decomposition</w:t>
            </w:r>
          </w:p>
        </w:tc>
      </w:tr>
      <w:tr w14:paraId="6BC3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2BAA740">
            <w:pPr>
              <w:spacing w:after="0"/>
              <w:ind w:firstLine="0"/>
              <w:rPr>
                <w:rFonts w:ascii="Times New Roman" w:hAnsi="Times New Roman" w:eastAsia="宋体"/>
              </w:rPr>
            </w:pPr>
            <w:r>
              <w:rPr>
                <w:rFonts w:ascii="Times New Roman" w:hAnsi="Times New Roman" w:eastAsia="宋体"/>
                <w:sz w:val="17"/>
              </w:rPr>
              <w:t>terminal_exec_overlap_sync_ms</w:t>
            </w:r>
          </w:p>
        </w:tc>
        <w:tc>
          <w:tcPr>
            <w:tcW w:w="3969" w:type="dxa"/>
            <w:tcMar>
              <w:top w:w="70" w:type="dxa"/>
              <w:left w:w="80" w:type="dxa"/>
              <w:bottom w:w="70" w:type="dxa"/>
              <w:right w:w="80" w:type="dxa"/>
            </w:tcMar>
            <w:vAlign w:val="center"/>
          </w:tcPr>
          <w:p w14:paraId="2209C96E">
            <w:pPr>
              <w:spacing w:after="0"/>
              <w:ind w:firstLine="0"/>
              <w:rPr>
                <w:rFonts w:ascii="Times New Roman" w:hAnsi="Times New Roman" w:eastAsia="宋体"/>
              </w:rPr>
            </w:pPr>
            <w:r>
              <w:rPr>
                <w:rFonts w:ascii="Times New Roman" w:hAnsi="Times New Roman" w:eastAsia="宋体"/>
                <w:sz w:val="17"/>
              </w:rPr>
              <w:t>单个 terminal 在 sync 内的执行</w:t>
            </w:r>
          </w:p>
        </w:tc>
        <w:tc>
          <w:tcPr>
            <w:tcW w:w="2268" w:type="dxa"/>
            <w:tcMar>
              <w:top w:w="70" w:type="dxa"/>
              <w:left w:w="80" w:type="dxa"/>
              <w:bottom w:w="70" w:type="dxa"/>
              <w:right w:w="80" w:type="dxa"/>
            </w:tcMar>
            <w:vAlign w:val="center"/>
          </w:tcPr>
          <w:p w14:paraId="70B1BFD4">
            <w:pPr>
              <w:spacing w:after="0"/>
              <w:ind w:firstLine="0"/>
              <w:rPr>
                <w:rFonts w:ascii="Times New Roman" w:hAnsi="Times New Roman" w:eastAsia="宋体"/>
              </w:rPr>
            </w:pPr>
            <w:r>
              <w:rPr>
                <w:rFonts w:ascii="Times New Roman" w:hAnsi="Times New Roman" w:eastAsia="宋体"/>
                <w:sz w:val="17"/>
              </w:rPr>
              <w:t>不跨 sync 加和为 A_device_wait</w:t>
            </w:r>
          </w:p>
        </w:tc>
        <w:tc>
          <w:tcPr>
            <w:tcW w:w="2381" w:type="dxa"/>
            <w:tcMar>
              <w:top w:w="70" w:type="dxa"/>
              <w:left w:w="80" w:type="dxa"/>
              <w:bottom w:w="70" w:type="dxa"/>
              <w:right w:w="80" w:type="dxa"/>
            </w:tcMar>
            <w:vAlign w:val="center"/>
          </w:tcPr>
          <w:p w14:paraId="310B48AE">
            <w:pPr>
              <w:spacing w:after="0"/>
              <w:ind w:firstLine="0"/>
              <w:rPr>
                <w:rFonts w:ascii="Times New Roman" w:hAnsi="Times New Roman" w:eastAsia="宋体"/>
              </w:rPr>
            </w:pPr>
            <w:r>
              <w:rPr>
                <w:rFonts w:ascii="Times New Roman" w:hAnsi="Times New Roman" w:eastAsia="宋体"/>
                <w:sz w:val="17"/>
              </w:rPr>
              <w:t>A_device_wait 使用全部 wait-set activities 的 union，不只 terminal</w:t>
            </w:r>
          </w:p>
        </w:tc>
      </w:tr>
    </w:tbl>
    <w:p w14:paraId="0FFC1AB1">
      <w:pPr>
        <w:spacing w:after="20"/>
        <w:rPr>
          <w:rFonts w:ascii="Times New Roman" w:hAnsi="Times New Roman" w:eastAsia="宋体"/>
        </w:rPr>
      </w:pPr>
    </w:p>
    <w:p w14:paraId="696E9107">
      <w:pPr>
        <w:pStyle w:val="4"/>
        <w:rPr>
          <w:rFonts w:ascii="Times New Roman" w:hAnsi="Times New Roman" w:eastAsia="宋体"/>
        </w:rPr>
      </w:pPr>
      <w:r>
        <w:rPr>
          <w:rFonts w:ascii="Times New Roman" w:hAnsi="Times New Roman" w:eastAsia="宋体"/>
          <w:color w:val="000000"/>
        </w:rPr>
        <w:t>2.10 W/M/P/C 的共同与专属指标</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3386"/>
        <w:gridCol w:w="3195"/>
      </w:tblGrid>
      <w:tr w14:paraId="0B2FA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30" w:type="dxa"/>
            <w:shd w:val="clear" w:color="auto" w:fill="DCE6F1"/>
            <w:tcMar>
              <w:top w:w="70" w:type="dxa"/>
              <w:left w:w="80" w:type="dxa"/>
              <w:bottom w:w="70" w:type="dxa"/>
              <w:right w:w="80" w:type="dxa"/>
            </w:tcMar>
            <w:vAlign w:val="center"/>
          </w:tcPr>
          <w:p w14:paraId="1D6E6FB2">
            <w:pPr>
              <w:ind w:firstLine="0"/>
              <w:jc w:val="center"/>
              <w:rPr>
                <w:rFonts w:ascii="Times New Roman" w:hAnsi="Times New Roman" w:eastAsia="宋体"/>
              </w:rPr>
            </w:pPr>
            <w:r>
              <w:rPr>
                <w:rFonts w:ascii="Times New Roman" w:hAnsi="Times New Roman" w:eastAsia="宋体"/>
                <w:b/>
                <w:color w:val="19375A"/>
                <w:sz w:val="17"/>
              </w:rPr>
              <w:t>类别</w:t>
            </w:r>
          </w:p>
        </w:tc>
        <w:tc>
          <w:tcPr>
            <w:tcW w:w="3230" w:type="dxa"/>
            <w:shd w:val="clear" w:color="auto" w:fill="DCE6F1"/>
            <w:tcMar>
              <w:top w:w="70" w:type="dxa"/>
              <w:left w:w="80" w:type="dxa"/>
              <w:bottom w:w="70" w:type="dxa"/>
              <w:right w:w="80" w:type="dxa"/>
            </w:tcMar>
            <w:vAlign w:val="center"/>
          </w:tcPr>
          <w:p w14:paraId="32A1543F">
            <w:pPr>
              <w:ind w:firstLine="0"/>
              <w:jc w:val="center"/>
              <w:rPr>
                <w:rFonts w:ascii="Times New Roman" w:hAnsi="Times New Roman" w:eastAsia="宋体"/>
              </w:rPr>
            </w:pPr>
            <w:r>
              <w:rPr>
                <w:rFonts w:ascii="Times New Roman" w:hAnsi="Times New Roman" w:eastAsia="宋体"/>
                <w:b/>
                <w:color w:val="19375A"/>
                <w:sz w:val="17"/>
              </w:rPr>
              <w:t>共同主指标</w:t>
            </w:r>
          </w:p>
        </w:tc>
        <w:tc>
          <w:tcPr>
            <w:tcW w:w="3230" w:type="dxa"/>
            <w:shd w:val="clear" w:color="auto" w:fill="DCE6F1"/>
            <w:tcMar>
              <w:top w:w="70" w:type="dxa"/>
              <w:left w:w="80" w:type="dxa"/>
              <w:bottom w:w="70" w:type="dxa"/>
              <w:right w:w="80" w:type="dxa"/>
            </w:tcMar>
            <w:vAlign w:val="center"/>
          </w:tcPr>
          <w:p w14:paraId="5265E100">
            <w:pPr>
              <w:ind w:firstLine="0"/>
              <w:jc w:val="center"/>
              <w:rPr>
                <w:rFonts w:ascii="Times New Roman" w:hAnsi="Times New Roman" w:eastAsia="宋体"/>
              </w:rPr>
            </w:pPr>
            <w:r>
              <w:rPr>
                <w:rFonts w:ascii="Times New Roman" w:hAnsi="Times New Roman" w:eastAsia="宋体"/>
                <w:b/>
                <w:color w:val="19375A"/>
                <w:sz w:val="17"/>
              </w:rPr>
              <w:t>专属补充</w:t>
            </w:r>
          </w:p>
        </w:tc>
      </w:tr>
      <w:tr w14:paraId="54BF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70" w:type="dxa"/>
              <w:left w:w="80" w:type="dxa"/>
              <w:bottom w:w="70" w:type="dxa"/>
              <w:right w:w="80" w:type="dxa"/>
            </w:tcMar>
            <w:vAlign w:val="center"/>
          </w:tcPr>
          <w:p w14:paraId="686366A5">
            <w:pPr>
              <w:spacing w:after="0"/>
              <w:ind w:firstLine="0"/>
              <w:rPr>
                <w:rFonts w:ascii="Times New Roman" w:hAnsi="Times New Roman" w:eastAsia="宋体"/>
              </w:rPr>
            </w:pPr>
            <w:r>
              <w:rPr>
                <w:rFonts w:ascii="Times New Roman" w:hAnsi="Times New Roman" w:eastAsia="宋体"/>
                <w:sz w:val="17"/>
              </w:rPr>
              <w:t>W</w:t>
            </w:r>
          </w:p>
        </w:tc>
        <w:tc>
          <w:tcPr>
            <w:tcW w:w="4535" w:type="dxa"/>
            <w:tcMar>
              <w:top w:w="70" w:type="dxa"/>
              <w:left w:w="80" w:type="dxa"/>
              <w:bottom w:w="70" w:type="dxa"/>
              <w:right w:w="80" w:type="dxa"/>
            </w:tcMar>
            <w:vAlign w:val="center"/>
          </w:tcPr>
          <w:p w14:paraId="50B48E5B">
            <w:pPr>
              <w:spacing w:after="0"/>
              <w:ind w:firstLine="0"/>
              <w:rPr>
                <w:rFonts w:ascii="Times New Roman" w:hAnsi="Times New Roman" w:eastAsia="宋体"/>
              </w:rPr>
            </w:pPr>
            <w:r>
              <w:rPr>
                <w:rFonts w:ascii="Times New Roman" w:hAnsi="Times New Roman" w:eastAsia="宋体"/>
                <w:sz w:val="17"/>
              </w:rPr>
              <w:t>latency、ratio-of-sums throughput、A 一级及 A_cuda_api/A_device_wait 二级指标、Raw、overlap、phase B</w:t>
            </w:r>
          </w:p>
        </w:tc>
        <w:tc>
          <w:tcPr>
            <w:tcW w:w="4535" w:type="dxa"/>
            <w:tcMar>
              <w:top w:w="70" w:type="dxa"/>
              <w:left w:w="80" w:type="dxa"/>
              <w:bottom w:w="70" w:type="dxa"/>
              <w:right w:w="80" w:type="dxa"/>
            </w:tcMar>
            <w:vAlign w:val="center"/>
          </w:tcPr>
          <w:p w14:paraId="147B7D0F">
            <w:pPr>
              <w:spacing w:after="0"/>
              <w:ind w:firstLine="0"/>
              <w:rPr>
                <w:rFonts w:ascii="Times New Roman" w:hAnsi="Times New Roman" w:eastAsia="宋体"/>
              </w:rPr>
            </w:pPr>
            <w:r>
              <w:rPr>
                <w:rFonts w:ascii="Times New Roman" w:hAnsi="Times New Roman" w:eastAsia="宋体"/>
                <w:sz w:val="17"/>
              </w:rPr>
              <w:t>每 token API/kernel/sync；prompt×batch×output</w:t>
            </w:r>
          </w:p>
        </w:tc>
      </w:tr>
      <w:tr w14:paraId="105E6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8FAFC"/>
            <w:tcMar>
              <w:top w:w="70" w:type="dxa"/>
              <w:left w:w="80" w:type="dxa"/>
              <w:bottom w:w="70" w:type="dxa"/>
              <w:right w:w="80" w:type="dxa"/>
            </w:tcMar>
            <w:vAlign w:val="center"/>
          </w:tcPr>
          <w:p w14:paraId="5054DF4B">
            <w:pPr>
              <w:spacing w:after="0"/>
              <w:ind w:firstLine="0"/>
              <w:rPr>
                <w:rFonts w:ascii="Times New Roman" w:hAnsi="Times New Roman" w:eastAsia="宋体"/>
              </w:rPr>
            </w:pPr>
            <w:r>
              <w:rPr>
                <w:rFonts w:ascii="Times New Roman" w:hAnsi="Times New Roman" w:eastAsia="宋体"/>
                <w:sz w:val="17"/>
              </w:rPr>
              <w:t>M</w:t>
            </w:r>
          </w:p>
        </w:tc>
        <w:tc>
          <w:tcPr>
            <w:tcW w:w="4535" w:type="dxa"/>
            <w:shd w:val="clear" w:color="auto" w:fill="F8FAFC"/>
            <w:tcMar>
              <w:top w:w="70" w:type="dxa"/>
              <w:left w:w="80" w:type="dxa"/>
              <w:bottom w:w="70" w:type="dxa"/>
              <w:right w:w="80" w:type="dxa"/>
            </w:tcMar>
            <w:vAlign w:val="center"/>
          </w:tcPr>
          <w:p w14:paraId="269460CA">
            <w:pPr>
              <w:spacing w:after="0"/>
              <w:ind w:firstLine="0"/>
              <w:rPr>
                <w:rFonts w:ascii="Times New Roman" w:hAnsi="Times New Roman" w:eastAsia="宋体"/>
              </w:rPr>
            </w:pPr>
            <w:r>
              <w:rPr>
                <w:rFonts w:ascii="Times New Roman" w:hAnsi="Times New Roman" w:eastAsia="宋体"/>
                <w:sz w:val="17"/>
              </w:rPr>
              <w:t>同上</w:t>
            </w:r>
          </w:p>
        </w:tc>
        <w:tc>
          <w:tcPr>
            <w:tcW w:w="4535" w:type="dxa"/>
            <w:shd w:val="clear" w:color="auto" w:fill="F8FAFC"/>
            <w:tcMar>
              <w:top w:w="70" w:type="dxa"/>
              <w:left w:w="80" w:type="dxa"/>
              <w:bottom w:w="70" w:type="dxa"/>
              <w:right w:w="80" w:type="dxa"/>
            </w:tcMar>
            <w:vAlign w:val="center"/>
          </w:tcPr>
          <w:p w14:paraId="503670A5">
            <w:pPr>
              <w:spacing w:after="0"/>
              <w:ind w:firstLine="0"/>
              <w:rPr>
                <w:rFonts w:ascii="Times New Roman" w:hAnsi="Times New Roman" w:eastAsia="宋体"/>
              </w:rPr>
            </w:pPr>
            <w:r>
              <w:rPr>
                <w:rFonts w:ascii="Times New Roman" w:hAnsi="Times New Roman" w:eastAsia="宋体"/>
                <w:sz w:val="17"/>
              </w:rPr>
              <w:t>参数、层、显存、operator/kernel mix</w:t>
            </w:r>
          </w:p>
        </w:tc>
      </w:tr>
      <w:tr w14:paraId="372E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70" w:type="dxa"/>
              <w:left w:w="80" w:type="dxa"/>
              <w:bottom w:w="70" w:type="dxa"/>
              <w:right w:w="80" w:type="dxa"/>
            </w:tcMar>
            <w:vAlign w:val="center"/>
          </w:tcPr>
          <w:p w14:paraId="519ADCDE">
            <w:pPr>
              <w:spacing w:after="0"/>
              <w:ind w:firstLine="0"/>
              <w:rPr>
                <w:rFonts w:ascii="Times New Roman" w:hAnsi="Times New Roman" w:eastAsia="宋体"/>
              </w:rPr>
            </w:pPr>
            <w:r>
              <w:rPr>
                <w:rFonts w:ascii="Times New Roman" w:hAnsi="Times New Roman" w:eastAsia="宋体"/>
                <w:sz w:val="17"/>
              </w:rPr>
              <w:t>P</w:t>
            </w:r>
          </w:p>
        </w:tc>
        <w:tc>
          <w:tcPr>
            <w:tcW w:w="4535" w:type="dxa"/>
            <w:tcMar>
              <w:top w:w="70" w:type="dxa"/>
              <w:left w:w="80" w:type="dxa"/>
              <w:bottom w:w="70" w:type="dxa"/>
              <w:right w:w="80" w:type="dxa"/>
            </w:tcMar>
            <w:vAlign w:val="center"/>
          </w:tcPr>
          <w:p w14:paraId="5DE6AE17">
            <w:pPr>
              <w:spacing w:after="0"/>
              <w:ind w:firstLine="0"/>
              <w:rPr>
                <w:rFonts w:ascii="Times New Roman" w:hAnsi="Times New Roman" w:eastAsia="宋体"/>
              </w:rPr>
            </w:pPr>
            <w:r>
              <w:rPr>
                <w:rFonts w:ascii="Times New Roman" w:hAnsi="Times New Roman" w:eastAsia="宋体"/>
                <w:sz w:val="17"/>
              </w:rPr>
              <w:t>同上</w:t>
            </w:r>
          </w:p>
        </w:tc>
        <w:tc>
          <w:tcPr>
            <w:tcW w:w="4535" w:type="dxa"/>
            <w:tcMar>
              <w:top w:w="70" w:type="dxa"/>
              <w:left w:w="80" w:type="dxa"/>
              <w:bottom w:w="70" w:type="dxa"/>
              <w:right w:w="80" w:type="dxa"/>
            </w:tcMar>
            <w:vAlign w:val="center"/>
          </w:tcPr>
          <w:p w14:paraId="57E5C4EC">
            <w:pPr>
              <w:spacing w:after="0"/>
              <w:ind w:firstLine="0"/>
              <w:rPr>
                <w:rFonts w:ascii="Times New Roman" w:hAnsi="Times New Roman" w:eastAsia="宋体"/>
              </w:rPr>
            </w:pPr>
            <w:r>
              <w:rPr>
                <w:rFonts w:ascii="Times New Roman" w:hAnsi="Times New Roman" w:eastAsia="宋体"/>
                <w:sz w:val="17"/>
              </w:rPr>
              <w:t>CPU 单线程/频率、PCIe/NUMA、GPU clock/power/temp</w:t>
            </w:r>
          </w:p>
        </w:tc>
      </w:tr>
      <w:tr w14:paraId="324B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8FAFC"/>
            <w:tcMar>
              <w:top w:w="70" w:type="dxa"/>
              <w:left w:w="80" w:type="dxa"/>
              <w:bottom w:w="70" w:type="dxa"/>
              <w:right w:w="80" w:type="dxa"/>
            </w:tcMar>
            <w:vAlign w:val="center"/>
          </w:tcPr>
          <w:p w14:paraId="083BB21C">
            <w:pPr>
              <w:spacing w:after="0"/>
              <w:ind w:firstLine="0"/>
              <w:rPr>
                <w:rFonts w:ascii="Times New Roman" w:hAnsi="Times New Roman" w:eastAsia="宋体"/>
              </w:rPr>
            </w:pPr>
            <w:r>
              <w:rPr>
                <w:rFonts w:ascii="Times New Roman" w:hAnsi="Times New Roman" w:eastAsia="宋体"/>
                <w:sz w:val="17"/>
              </w:rPr>
              <w:t>C</w:t>
            </w:r>
          </w:p>
        </w:tc>
        <w:tc>
          <w:tcPr>
            <w:tcW w:w="4535" w:type="dxa"/>
            <w:shd w:val="clear" w:color="auto" w:fill="F8FAFC"/>
            <w:tcMar>
              <w:top w:w="70" w:type="dxa"/>
              <w:left w:w="80" w:type="dxa"/>
              <w:bottom w:w="70" w:type="dxa"/>
              <w:right w:w="80" w:type="dxa"/>
            </w:tcMar>
            <w:vAlign w:val="center"/>
          </w:tcPr>
          <w:p w14:paraId="4C7A745C">
            <w:pPr>
              <w:spacing w:after="0"/>
              <w:ind w:firstLine="0"/>
              <w:rPr>
                <w:rFonts w:ascii="Times New Roman" w:hAnsi="Times New Roman" w:eastAsia="宋体"/>
              </w:rPr>
            </w:pPr>
            <w:r>
              <w:rPr>
                <w:rFonts w:ascii="Times New Roman" w:hAnsi="Times New Roman" w:eastAsia="宋体"/>
                <w:sz w:val="17"/>
              </w:rPr>
              <w:t>同上</w:t>
            </w:r>
          </w:p>
        </w:tc>
        <w:tc>
          <w:tcPr>
            <w:tcW w:w="4535" w:type="dxa"/>
            <w:shd w:val="clear" w:color="auto" w:fill="F8FAFC"/>
            <w:tcMar>
              <w:top w:w="70" w:type="dxa"/>
              <w:left w:w="80" w:type="dxa"/>
              <w:bottom w:w="70" w:type="dxa"/>
              <w:right w:w="80" w:type="dxa"/>
            </w:tcMar>
            <w:vAlign w:val="center"/>
          </w:tcPr>
          <w:p w14:paraId="1DA8EF85">
            <w:pPr>
              <w:spacing w:after="0"/>
              <w:ind w:firstLine="0"/>
              <w:rPr>
                <w:rFonts w:ascii="Times New Roman" w:hAnsi="Times New Roman" w:eastAsia="宋体"/>
              </w:rPr>
            </w:pPr>
            <w:r>
              <w:rPr>
                <w:rFonts w:ascii="Times New Roman" w:hAnsi="Times New Roman" w:eastAsia="宋体"/>
                <w:sz w:val="17"/>
              </w:rPr>
              <w:t>backend、graph/compile、精度、graph breaks、输出质量</w:t>
            </w:r>
          </w:p>
        </w:tc>
      </w:tr>
    </w:tbl>
    <w:p w14:paraId="5F013115">
      <w:pPr>
        <w:spacing w:after="20"/>
        <w:rPr>
          <w:rFonts w:ascii="Times New Roman" w:hAnsi="Times New Roman" w:eastAsia="宋体"/>
        </w:rPr>
      </w:pPr>
    </w:p>
    <w:p w14:paraId="2D48858F">
      <w:pPr>
        <w:pStyle w:val="4"/>
        <w:rPr>
          <w:rFonts w:ascii="Times New Roman" w:hAnsi="Times New Roman" w:eastAsia="宋体"/>
        </w:rPr>
      </w:pPr>
      <w:r>
        <w:rPr>
          <w:rFonts w:ascii="Times New Roman" w:hAnsi="Times New Roman" w:eastAsia="宋体"/>
          <w:color w:val="000000"/>
        </w:rPr>
        <w:t>2.11 统计与质量</w:t>
      </w:r>
    </w:p>
    <w:p w14:paraId="3D99CCB3">
      <w:pPr>
        <w:pStyle w:val="167"/>
        <w:rPr>
          <w:rFonts w:ascii="Times New Roman" w:hAnsi="Times New Roman" w:eastAsia="宋体"/>
          <w:highlight w:val="none"/>
        </w:rPr>
      </w:pPr>
      <w:r>
        <w:rPr>
          <w:rFonts w:ascii="Times New Roman" w:hAnsi="Times New Roman" w:eastAsia="宋体"/>
          <w:color w:val="000000"/>
        </w:rPr>
        <w:t>Latency、A 与 D 的推断单位是 repeat/phase。B 保留两种互补统计：所有 B_valid physical sync 的 sync-weighted 分布用于描述“随机一个 sync”的结构；每个 repeat/phase 先聚合后再跨 repeat 汇总，用于描述“典型一次 inference”并计算置信区间。</w:t>
      </w:r>
    </w:p>
    <w:p w14:paraId="4B4635D6">
      <w:pPr>
        <w:pStyle w:val="168"/>
        <w:rPr>
          <w:rFonts w:ascii="Times New Roman" w:hAnsi="Times New Roman" w:eastAsia="宋体"/>
          <w:highlight w:val="none"/>
        </w:rPr>
      </w:pPr>
      <w:r>
        <w:rPr>
          <w:rFonts w:ascii="Times New Roman" w:hAnsi="Times New Roman" w:eastAsia="宋体"/>
          <w:color w:val="000000"/>
        </w:rPr>
        <w:t>B 的 CI 和跨 WMPC 比较采用 repeat-cluster bootstrap：每次重采样整组 repeat，并保留该 repeat 内全部 sync；不得把同一 invocation 内的 sync 当作相互独立的实验样本。</w:t>
      </w:r>
    </w:p>
    <w:tbl>
      <w:tblPr>
        <w:tblStyle w:val="34"/>
        <w:tblW w:w="84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3178"/>
        <w:gridCol w:w="3733"/>
      </w:tblGrid>
      <w:tr w14:paraId="4802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CE6F1"/>
            <w:tcMar>
              <w:top w:w="70" w:type="dxa"/>
              <w:left w:w="80" w:type="dxa"/>
              <w:bottom w:w="70" w:type="dxa"/>
              <w:right w:w="80" w:type="dxa"/>
            </w:tcMar>
            <w:vAlign w:val="center"/>
          </w:tcPr>
          <w:p w14:paraId="16EB7BBD">
            <w:pPr>
              <w:snapToGrid w:val="0"/>
              <w:spacing w:line="240" w:lineRule="auto"/>
              <w:ind w:left="0" w:leftChars="0" w:right="0" w:rightChars="0" w:firstLine="0" w:firstLineChars="0"/>
              <w:jc w:val="center"/>
              <w:rPr>
                <w:rFonts w:ascii="Times New Roman" w:hAnsi="Times New Roman" w:eastAsia="宋体"/>
                <w:b/>
                <w:highlight w:val="none"/>
              </w:rPr>
            </w:pPr>
            <w:r>
              <w:rPr>
                <w:rFonts w:ascii="Times New Roman" w:hAnsi="Times New Roman" w:eastAsia="宋体"/>
                <w:b/>
              </w:rPr>
              <w:t>项目</w:t>
            </w:r>
          </w:p>
        </w:tc>
        <w:tc>
          <w:tcPr>
            <w:tcW w:w="0" w:type="auto"/>
            <w:shd w:val="clear" w:color="auto" w:fill="DCE6F1"/>
            <w:tcMar>
              <w:top w:w="70" w:type="dxa"/>
              <w:left w:w="80" w:type="dxa"/>
              <w:bottom w:w="70" w:type="dxa"/>
              <w:right w:w="80" w:type="dxa"/>
            </w:tcMar>
            <w:vAlign w:val="center"/>
          </w:tcPr>
          <w:p w14:paraId="3A0E5B2D">
            <w:pPr>
              <w:snapToGrid w:val="0"/>
              <w:spacing w:line="240" w:lineRule="auto"/>
              <w:ind w:left="0" w:leftChars="0" w:right="0" w:rightChars="0" w:firstLine="0" w:firstLineChars="0"/>
              <w:jc w:val="center"/>
              <w:rPr>
                <w:rFonts w:ascii="Times New Roman" w:hAnsi="Times New Roman" w:eastAsia="宋体"/>
                <w:b/>
                <w:highlight w:val="none"/>
              </w:rPr>
            </w:pPr>
            <w:r>
              <w:rPr>
                <w:rFonts w:ascii="Times New Roman" w:hAnsi="Times New Roman" w:eastAsia="宋体"/>
                <w:b/>
              </w:rPr>
              <w:t>程序验证阶段</w:t>
            </w:r>
          </w:p>
        </w:tc>
        <w:tc>
          <w:tcPr>
            <w:tcW w:w="3733" w:type="dxa"/>
            <w:shd w:val="clear" w:color="auto" w:fill="DCE6F1"/>
            <w:tcMar>
              <w:top w:w="70" w:type="dxa"/>
              <w:left w:w="80" w:type="dxa"/>
              <w:bottom w:w="70" w:type="dxa"/>
              <w:right w:w="80" w:type="dxa"/>
            </w:tcMar>
            <w:vAlign w:val="center"/>
          </w:tcPr>
          <w:p w14:paraId="555ABA37">
            <w:pPr>
              <w:snapToGrid w:val="0"/>
              <w:spacing w:line="240" w:lineRule="auto"/>
              <w:ind w:left="0" w:leftChars="0" w:right="0" w:rightChars="0" w:firstLine="0" w:firstLineChars="0"/>
              <w:jc w:val="center"/>
              <w:rPr>
                <w:rFonts w:ascii="Times New Roman" w:hAnsi="Times New Roman" w:eastAsia="宋体"/>
                <w:b/>
                <w:highlight w:val="none"/>
              </w:rPr>
            </w:pPr>
            <w:r>
              <w:rPr>
                <w:rFonts w:ascii="Times New Roman" w:hAnsi="Times New Roman" w:eastAsia="宋体"/>
                <w:b/>
              </w:rPr>
              <w:t>正式数据阶段</w:t>
            </w:r>
          </w:p>
        </w:tc>
      </w:tr>
      <w:tr w14:paraId="6253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377E03A3">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Repeats/CV</w:t>
            </w:r>
          </w:p>
        </w:tc>
        <w:tc>
          <w:tcPr>
            <w:tcW w:w="0" w:type="auto"/>
            <w:tcMar>
              <w:top w:w="70" w:type="dxa"/>
              <w:left w:w="80" w:type="dxa"/>
              <w:bottom w:w="70" w:type="dxa"/>
              <w:right w:w="80" w:type="dxa"/>
            </w:tcMar>
            <w:vAlign w:val="center"/>
          </w:tcPr>
          <w:p w14:paraId="2E2A9B40">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冻结前 preflight 使用少量 attempts 检查采集链；Pilot 估计方差、异常率与 profiler overhead。</w:t>
            </w:r>
          </w:p>
        </w:tc>
        <w:tc>
          <w:tcPr>
            <w:tcW w:w="3733" w:type="dxa"/>
            <w:tcMar>
              <w:top w:w="70" w:type="dxa"/>
              <w:left w:w="80" w:type="dxa"/>
              <w:bottom w:w="70" w:type="dxa"/>
              <w:right w:w="80" w:type="dxa"/>
            </w:tcMar>
            <w:vAlign w:val="center"/>
          </w:tcPr>
          <w:p w14:paraId="4D8C1181">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Protocol Freeze 统一固定 repeat_count 或预定义分块次数；不得因单组 CI 跨 0 或结果不显著而选择性补采。</w:t>
            </w:r>
          </w:p>
        </w:tc>
      </w:tr>
      <w:tr w14:paraId="586A9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5916C06F">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吞吐与 CI</w:t>
            </w:r>
          </w:p>
        </w:tc>
        <w:tc>
          <w:tcPr>
            <w:tcW w:w="0" w:type="auto"/>
            <w:shd w:val="clear" w:color="auto" w:fill="F8FAFC"/>
            <w:tcMar>
              <w:top w:w="70" w:type="dxa"/>
              <w:left w:w="80" w:type="dxa"/>
              <w:bottom w:w="70" w:type="dxa"/>
              <w:right w:w="80" w:type="dxa"/>
            </w:tcMar>
            <w:vAlign w:val="center"/>
          </w:tcPr>
          <w:p w14:paraId="3D84A7F7">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使用与 phase 一致的 token 分母和 Σtokens/Σtime。</w:t>
            </w:r>
          </w:p>
        </w:tc>
        <w:tc>
          <w:tcPr>
            <w:tcW w:w="3733" w:type="dxa"/>
            <w:shd w:val="clear" w:color="auto" w:fill="F8FAFC"/>
            <w:tcMar>
              <w:top w:w="70" w:type="dxa"/>
              <w:left w:w="80" w:type="dxa"/>
              <w:bottom w:w="70" w:type="dxa"/>
              <w:right w:w="80" w:type="dxa"/>
            </w:tcMar>
            <w:vAlign w:val="center"/>
          </w:tcPr>
          <w:p w14:paraId="74F089AC">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以 repeat 为重采样单位报告 95% percentile bootstrap CI；CI 宽度用于表达精度，不自动触发逐组加样。</w:t>
            </w:r>
          </w:p>
        </w:tc>
      </w:tr>
      <w:tr w14:paraId="2F99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238BD797">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A share 与 D</w:t>
            </w:r>
          </w:p>
        </w:tc>
        <w:tc>
          <w:tcPr>
            <w:tcW w:w="0" w:type="auto"/>
            <w:tcMar>
              <w:top w:w="70" w:type="dxa"/>
              <w:left w:w="80" w:type="dxa"/>
              <w:bottom w:w="70" w:type="dxa"/>
              <w:right w:w="80" w:type="dxa"/>
            </w:tcMar>
            <w:vAlign w:val="center"/>
          </w:tcPr>
          <w:p w14:paraId="514C6554">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检查分母、null 与质量门。</w:t>
            </w:r>
          </w:p>
        </w:tc>
        <w:tc>
          <w:tcPr>
            <w:tcW w:w="3733" w:type="dxa"/>
            <w:tcMar>
              <w:top w:w="70" w:type="dxa"/>
              <w:left w:w="80" w:type="dxa"/>
              <w:bottom w:w="70" w:type="dxa"/>
              <w:right w:w="80" w:type="dxa"/>
            </w:tcMar>
            <w:vAlign w:val="center"/>
          </w:tcPr>
          <w:p w14:paraId="62366326">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绝对 ms 为主，share/D 只用于组成迁移；不得将 A_host_path 或 D 直接解释为 CPU busy 或 CPU/GPU 瓶颈。</w:t>
            </w:r>
          </w:p>
        </w:tc>
      </w:tr>
      <w:tr w14:paraId="6902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2CC"/>
            <w:tcMar>
              <w:top w:w="70" w:type="dxa"/>
              <w:left w:w="80" w:type="dxa"/>
              <w:bottom w:w="70" w:type="dxa"/>
              <w:right w:w="80" w:type="dxa"/>
            </w:tcMar>
            <w:vAlign w:val="center"/>
          </w:tcPr>
          <w:p w14:paraId="41B69F09">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B</w:t>
            </w:r>
          </w:p>
        </w:tc>
        <w:tc>
          <w:tcPr>
            <w:tcW w:w="0" w:type="auto"/>
            <w:shd w:val="clear" w:color="auto" w:fill="FFF2CC"/>
            <w:tcMar>
              <w:top w:w="70" w:type="dxa"/>
              <w:left w:w="80" w:type="dxa"/>
              <w:bottom w:w="70" w:type="dxa"/>
              <w:right w:w="80" w:type="dxa"/>
            </w:tcMar>
            <w:vAlign w:val="center"/>
          </w:tcPr>
          <w:p w14:paraId="62CC0767">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检查 coverage、公式、invalid 与两种聚合口径。</w:t>
            </w:r>
          </w:p>
        </w:tc>
        <w:tc>
          <w:tcPr>
            <w:tcW w:w="3733" w:type="dxa"/>
            <w:shd w:val="clear" w:color="auto" w:fill="FFF2CC"/>
            <w:tcMar>
              <w:top w:w="70" w:type="dxa"/>
              <w:left w:w="80" w:type="dxa"/>
              <w:bottom w:w="70" w:type="dxa"/>
              <w:right w:w="80" w:type="dxa"/>
            </w:tcMar>
            <w:vAlign w:val="center"/>
          </w:tcPr>
          <w:p w14:paraId="7D0098FD">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同时报告 sync-weighted 分布和 repeat/phase 聚合；CI 使用 repeat-cluster bootstrap。</w:t>
            </w:r>
          </w:p>
        </w:tc>
      </w:tr>
      <w:tr w14:paraId="5E30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7BCF3A47">
            <w:pPr>
              <w:snapToGrid w:val="0"/>
              <w:spacing w:after="0" w:line="240" w:lineRule="auto"/>
              <w:ind w:left="0" w:leftChars="0" w:right="0" w:rightChars="0" w:firstLine="0" w:firstLineChars="0"/>
              <w:jc w:val="center"/>
              <w:rPr>
                <w:rFonts w:ascii="Times New Roman" w:hAnsi="Times New Roman" w:eastAsia="宋体"/>
                <w:highlight w:val="none"/>
              </w:rPr>
            </w:pPr>
            <w:r>
              <w:rPr>
                <w:rFonts w:ascii="Times New Roman" w:hAnsi="Times New Roman" w:eastAsia="宋体"/>
              </w:rPr>
              <w:t>代码与 schema 冻结</w:t>
            </w:r>
          </w:p>
        </w:tc>
        <w:tc>
          <w:tcPr>
            <w:tcW w:w="0" w:type="auto"/>
            <w:tcMar>
              <w:top w:w="70" w:type="dxa"/>
              <w:left w:w="80" w:type="dxa"/>
              <w:bottom w:w="70" w:type="dxa"/>
              <w:right w:w="80" w:type="dxa"/>
            </w:tcMar>
            <w:vAlign w:val="center"/>
          </w:tcPr>
          <w:p w14:paraId="531163F1">
            <w:pPr>
              <w:snapToGrid w:val="0"/>
              <w:spacing w:after="0" w:line="240" w:lineRule="auto"/>
              <w:ind w:left="0" w:leftChars="0" w:right="0" w:rightChars="0" w:firstLine="0" w:firstLineChars="0"/>
              <w:jc w:val="center"/>
              <w:rPr>
                <w:rFonts w:ascii="Times New Roman" w:hAnsi="Times New Roman" w:eastAsia="宋体"/>
                <w:highlight w:val="none"/>
              </w:rPr>
            </w:pPr>
            <w:r>
              <w:rPr>
                <w:rFonts w:ascii="Times New Roman" w:hAnsi="Times New Roman" w:eastAsia="宋体"/>
              </w:rPr>
              <w:t>preflight 可允许 dirty，但必须留日志。</w:t>
            </w:r>
          </w:p>
        </w:tc>
        <w:tc>
          <w:tcPr>
            <w:tcW w:w="3733" w:type="dxa"/>
            <w:tcMar>
              <w:top w:w="70" w:type="dxa"/>
              <w:left w:w="80" w:type="dxa"/>
              <w:bottom w:w="70" w:type="dxa"/>
              <w:right w:w="80" w:type="dxa"/>
            </w:tcMar>
            <w:vAlign w:val="center"/>
          </w:tcPr>
          <w:p w14:paraId="0B2E4E1B">
            <w:pPr>
              <w:snapToGrid w:val="0"/>
              <w:spacing w:after="0" w:line="240" w:lineRule="auto"/>
              <w:ind w:left="0" w:leftChars="0" w:right="0" w:rightChars="0" w:firstLine="0" w:firstLineChars="0"/>
              <w:jc w:val="center"/>
              <w:rPr>
                <w:rFonts w:ascii="Times New Roman" w:hAnsi="Times New Roman" w:eastAsia="宋体"/>
                <w:highlight w:val="none"/>
              </w:rPr>
            </w:pPr>
            <w:r>
              <w:rPr>
                <w:rFonts w:ascii="Times New Roman" w:hAnsi="Times New Roman" w:eastAsia="宋体"/>
              </w:rPr>
              <w:t>manifest 记录 runner/analyzer commit，正式数据 dirty=false；registry、API 分类表和 oracle 版本随 tag 冻结。</w:t>
            </w:r>
          </w:p>
        </w:tc>
      </w:tr>
      <w:tr w14:paraId="7D46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67E61BBF">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Profiler overhead</w:t>
            </w:r>
          </w:p>
        </w:tc>
        <w:tc>
          <w:tcPr>
            <w:tcW w:w="0" w:type="auto"/>
            <w:shd w:val="clear" w:color="auto" w:fill="F8FAFC"/>
            <w:tcMar>
              <w:top w:w="70" w:type="dxa"/>
              <w:left w:w="80" w:type="dxa"/>
              <w:bottom w:w="70" w:type="dxa"/>
              <w:right w:w="80" w:type="dxa"/>
            </w:tcMar>
            <w:vAlign w:val="center"/>
          </w:tcPr>
          <w:p w14:paraId="16E9738C">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相同 WMPC 的独立 Pass 0/Pass 1 集合比较。</w:t>
            </w:r>
          </w:p>
        </w:tc>
        <w:tc>
          <w:tcPr>
            <w:tcW w:w="3733" w:type="dxa"/>
            <w:shd w:val="clear" w:color="auto" w:fill="F8FAFC"/>
            <w:tcMar>
              <w:top w:w="70" w:type="dxa"/>
              <w:left w:w="80" w:type="dxa"/>
              <w:bottom w:w="70" w:type="dxa"/>
              <w:right w:w="80" w:type="dxa"/>
            </w:tcMar>
            <w:vAlign w:val="center"/>
          </w:tcPr>
          <w:p w14:paraId="1395D81B">
            <w:pPr>
              <w:snapToGrid w:val="0"/>
              <w:spacing w:after="0"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目标≤5%、硬门槛≤10%；Pass 1 latency 不替代 Pass 0 主性能。</w:t>
            </w:r>
          </w:p>
        </w:tc>
      </w:tr>
      <w:tr w14:paraId="12E5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6B9664D">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顶层 A 分区不变量</w:t>
            </w:r>
          </w:p>
        </w:tc>
        <w:tc>
          <w:tcPr>
            <w:tcW w:w="0" w:type="auto"/>
            <w:vAlign w:val="center"/>
          </w:tcPr>
          <w:p w14:paraId="5850799D">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检查原子区间切分、优先级、窗口裁剪与整数时间戳。</w:t>
            </w:r>
          </w:p>
        </w:tc>
        <w:tc>
          <w:tcPr>
            <w:tcW w:w="3733" w:type="dxa"/>
            <w:vAlign w:val="center"/>
          </w:tcPr>
          <w:p w14:paraId="3CDA00F1">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跨 A 重复归属=0 ns；加入 A_unattributed 后最终未覆盖=0 ns；越界=0 ns；负时长/逆序有效记录=0。浮点导出差异≤0.1%仅作序列化 QA，不是语义正确性证据。</w:t>
            </w:r>
          </w:p>
        </w:tc>
      </w:tr>
      <w:tr w14:paraId="2F78D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39F97AD">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A_cuda_api 二级分区</w:t>
            </w:r>
          </w:p>
        </w:tc>
        <w:tc>
          <w:tcPr>
            <w:tcW w:w="0" w:type="auto"/>
            <w:vAlign w:val="center"/>
          </w:tcPr>
          <w:p w14:paraId="1AA94560">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submit/non-submit 原子片段互斥并闭合到父类。</w:t>
            </w:r>
          </w:p>
        </w:tc>
        <w:tc>
          <w:tcPr>
            <w:tcW w:w="3733" w:type="dxa"/>
            <w:vAlign w:val="center"/>
          </w:tcPr>
          <w:p w14:paraId="253F6B77">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整数时间戳域要求精确闭合；classification coverage 目标≥99%。导出毫秒的≤0.1%仅作显示容差。</w:t>
            </w:r>
          </w:p>
        </w:tc>
      </w:tr>
      <w:tr w14:paraId="7DBE8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2CC"/>
            <w:vAlign w:val="center"/>
          </w:tcPr>
          <w:p w14:paraId="731838C0">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A_device_wait 二级分区</w:t>
            </w:r>
          </w:p>
        </w:tc>
        <w:tc>
          <w:tcPr>
            <w:tcW w:w="0" w:type="auto"/>
            <w:shd w:val="clear" w:color="auto" w:fill="FFF2CC"/>
            <w:vAlign w:val="center"/>
          </w:tcPr>
          <w:p w14:paraId="100665E5">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kernel-only、memop-only、mixed 原子片段互斥并闭合到父类。</w:t>
            </w:r>
          </w:p>
        </w:tc>
        <w:tc>
          <w:tcPr>
            <w:tcW w:w="3733" w:type="dxa"/>
            <w:shd w:val="clear" w:color="auto" w:fill="FFF2CC"/>
            <w:vAlign w:val="center"/>
          </w:tcPr>
          <w:p w14:paraId="4517B51C">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整数时间戳域要求精确闭合；activity classification coverage 目标≥99%。</w:t>
            </w:r>
          </w:p>
        </w:tc>
      </w:tr>
      <w:tr w14:paraId="6B4D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9030858">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S/B 语义与真实覆盖</w:t>
            </w:r>
          </w:p>
        </w:tc>
        <w:tc>
          <w:tcPr>
            <w:tcW w:w="0" w:type="auto"/>
            <w:vAlign w:val="center"/>
          </w:tcPr>
          <w:p w14:paraId="750B1A92">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微基准检查 wait-set、terminal、B 生命周期和 invalid reason；真实 trace 检查 dropped/NVTX/bleed。</w:t>
            </w:r>
          </w:p>
        </w:tc>
        <w:tc>
          <w:tcPr>
            <w:tcW w:w="3733" w:type="dxa"/>
            <w:vAlign w:val="center"/>
          </w:tcPr>
          <w:p w14:paraId="3578DE04">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支持微基准 activity ID/terminal exact match；真实 LLM 报告 supported count/duration coverage、B_valid、invalid reason 与 A_unattributed，门槛由 Pilot 冻结。</w:t>
            </w:r>
          </w:p>
        </w:tc>
      </w:tr>
      <w:tr w14:paraId="05B4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55" w:type="dxa"/>
            <w:shd w:val="clear" w:color="auto" w:fill="FFF2CC"/>
            <w:vAlign w:val="center"/>
          </w:tcPr>
          <w:p w14:paraId="6226395B">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Launch relation</w:t>
            </w:r>
          </w:p>
        </w:tc>
        <w:tc>
          <w:tcPr>
            <w:tcW w:w="3178" w:type="dxa"/>
            <w:shd w:val="clear" w:color="auto" w:fill="FFF2CC"/>
            <w:vAlign w:val="center"/>
          </w:tcPr>
          <w:p w14:paraId="0751BB22">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检查 correlation 唯一性、状态分类与 null 规则。</w:t>
            </w:r>
          </w:p>
        </w:tc>
        <w:tc>
          <w:tcPr>
            <w:tcW w:w="3733" w:type="dxa"/>
            <w:shd w:val="clear" w:color="auto" w:fill="FFF2CC"/>
            <w:vAlign w:val="center"/>
          </w:tcPr>
          <w:p w14:paraId="0B2F0E4D">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报告状态数量/比例；post-API 指标只在 POST_API_START 子集汇总。</w:t>
            </w:r>
          </w:p>
        </w:tc>
      </w:tr>
    </w:tbl>
    <w:p w14:paraId="43CF3BA7">
      <w:pPr>
        <w:pStyle w:val="168"/>
        <w:rPr>
          <w:rFonts w:ascii="Times New Roman" w:hAnsi="Times New Roman" w:eastAsia="宋体"/>
        </w:rPr>
      </w:pPr>
      <w:r>
        <w:rPr>
          <w:rFonts w:ascii="Times New Roman" w:hAnsi="Times New Roman" w:eastAsia="宋体"/>
          <w:color w:val="000000"/>
        </w:rPr>
        <w:t>A 的互斥闭合只是 partition implementation invariant。Q0 的核心正确性证据必须来自受控 CUDA 用例中的 W(s)/terminal 对独立 oracle 精确匹配、completed-before-sync 与无关重叠负例、validity/fail-closed 和真实 observation coverage。</w:t>
      </w:r>
    </w:p>
    <w:p w14:paraId="5F420B57">
      <w:pPr>
        <w:spacing w:after="20"/>
        <w:rPr>
          <w:rFonts w:ascii="Times New Roman" w:hAnsi="Times New Roman" w:eastAsia="宋体"/>
        </w:rPr>
      </w:pPr>
    </w:p>
    <w:p w14:paraId="51E0FB75">
      <w:pPr>
        <w:rPr>
          <w:rFonts w:ascii="Times New Roman" w:hAnsi="Times New Roman" w:eastAsia="宋体"/>
        </w:rPr>
      </w:pPr>
      <w:r>
        <w:rPr>
          <w:rFonts w:ascii="Times New Roman" w:hAnsi="Times New Roman" w:eastAsia="宋体"/>
          <w:color w:val="000000"/>
        </w:rPr>
        <w:br w:type="page"/>
      </w:r>
    </w:p>
    <w:p w14:paraId="6A7D0B38">
      <w:pPr>
        <w:pStyle w:val="3"/>
        <w:rPr>
          <w:rFonts w:ascii="Times New Roman" w:hAnsi="Times New Roman" w:eastAsia="宋体"/>
          <w:highlight w:val="none"/>
        </w:rPr>
      </w:pPr>
      <w:r>
        <w:rPr>
          <w:rFonts w:ascii="Times New Roman" w:hAnsi="Times New Roman" w:eastAsia="宋体"/>
          <w:color w:val="000000"/>
        </w:rPr>
        <w:t>第三章　研究路线、论文证据链与 Artifact</w:t>
      </w:r>
    </w:p>
    <w:p w14:paraId="71A27CFC">
      <w:pPr>
        <w:pStyle w:val="166"/>
        <w:shd w:val="clear" w:fill="EAF1F8"/>
        <w:rPr>
          <w:rFonts w:hint="eastAsia" w:ascii="Times New Roman" w:hAnsi="Times New Roman" w:eastAsia="宋体"/>
          <w:b w:val="0"/>
          <w:bCs w:val="0"/>
          <w:highlight w:val="none"/>
          <w:lang w:eastAsia="zh-CN"/>
        </w:rPr>
      </w:pPr>
      <w:r>
        <w:rPr>
          <w:rFonts w:ascii="Times New Roman" w:hAnsi="Times New Roman" w:eastAsia="宋体"/>
          <w:b w:val="0"/>
          <w:color w:val="000000"/>
        </w:rPr>
        <w:t>四个阶段是研究逻辑，而不是八个相互独立的项目。周期为单人、已有代码和设备条件下的估计，可并行推进，不是硬性工期承诺。</w:t>
      </w:r>
      <w:r>
        <w:rPr>
          <w:rFonts w:hint="eastAsia" w:ascii="Times New Roman" w:hAnsi="Times New Roman" w:eastAsia="宋体"/>
          <w:b w:val="0"/>
          <w:bCs w:val="0"/>
          <w:color w:val="000000"/>
          <w:lang w:eastAsia="zh-CN"/>
        </w:rPr>
        <w:drawing>
          <wp:inline distT="0" distB="0" distL="114300" distR="114300">
            <wp:extent cx="5266690" cy="1697990"/>
            <wp:effectExtent l="0" t="0" r="6350" b="8890"/>
            <wp:docPr id="6" name="图片 6" descr="12M0KK`[DS(8JJL$R5Y3R3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2M0KK`[DS(8JJL$R5Y3R3H"/>
                    <pic:cNvPicPr>
                      <a:picLocks noChangeAspect="1"/>
                    </pic:cNvPicPr>
                  </pic:nvPicPr>
                  <pic:blipFill>
                    <a:blip r:embed="rId8"/>
                    <a:stretch>
                      <a:fillRect/>
                    </a:stretch>
                  </pic:blipFill>
                  <pic:spPr>
                    <a:xfrm>
                      <a:off x="0" y="0"/>
                      <a:ext cx="5266690" cy="1697990"/>
                    </a:xfrm>
                    <a:prstGeom prst="rect">
                      <a:avLst/>
                    </a:prstGeom>
                  </pic:spPr>
                </pic:pic>
              </a:graphicData>
            </a:graphic>
          </wp:inline>
        </w:drawing>
      </w:r>
    </w:p>
    <w:p w14:paraId="6B50280D">
      <w:pPr>
        <w:pStyle w:val="4"/>
        <w:rPr>
          <w:rFonts w:ascii="Times New Roman" w:hAnsi="Times New Roman" w:eastAsia="宋体"/>
          <w:highlight w:val="none"/>
        </w:rPr>
      </w:pPr>
      <w:r>
        <w:rPr>
          <w:rFonts w:ascii="Times New Roman" w:hAnsi="Times New Roman" w:eastAsia="宋体"/>
          <w:color w:val="000000"/>
        </w:rPr>
        <w:t>3.1 当前阶段：Engineering 与 Measurement Contract</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5"/>
        <w:gridCol w:w="2376"/>
        <w:gridCol w:w="1856"/>
        <w:gridCol w:w="1366"/>
        <w:gridCol w:w="1533"/>
      </w:tblGrid>
      <w:tr w14:paraId="6A96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38" w:type="dxa"/>
            <w:shd w:val="clear" w:color="auto" w:fill="DCE6F1"/>
            <w:tcMar>
              <w:top w:w="70" w:type="dxa"/>
              <w:left w:w="80" w:type="dxa"/>
              <w:bottom w:w="70" w:type="dxa"/>
              <w:right w:w="80" w:type="dxa"/>
            </w:tcMar>
            <w:vAlign w:val="center"/>
          </w:tcPr>
          <w:p>
            <w:r>
              <w:rPr/>
              <w:t>内容</w:t>
            </w:r>
          </w:p>
        </w:tc>
        <w:tc>
          <w:tcPr>
            <w:tcW w:w="1938" w:type="dxa"/>
            <w:shd w:val="clear" w:color="auto" w:fill="DCE6F1"/>
            <w:tcMar>
              <w:top w:w="70" w:type="dxa"/>
              <w:left w:w="80" w:type="dxa"/>
              <w:bottom w:w="70" w:type="dxa"/>
              <w:right w:w="80" w:type="dxa"/>
            </w:tcMar>
            <w:vAlign w:val="center"/>
          </w:tcPr>
          <w:p>
            <w:r>
              <w:rPr/>
              <w:t>当前任务</w:t>
            </w:r>
          </w:p>
        </w:tc>
        <w:tc>
          <w:tcPr>
            <w:tcW w:w="1938" w:type="dxa"/>
            <w:shd w:val="clear" w:color="auto" w:fill="DCE6F1"/>
            <w:tcMar>
              <w:top w:w="70" w:type="dxa"/>
              <w:left w:w="80" w:type="dxa"/>
              <w:bottom w:w="70" w:type="dxa"/>
              <w:right w:w="80" w:type="dxa"/>
            </w:tcMar>
            <w:vAlign w:val="center"/>
          </w:tcPr>
          <w:p>
            <w:r>
              <w:rPr/>
              <w:t>完成标准</w:t>
            </w:r>
          </w:p>
        </w:tc>
        <w:tc>
          <w:tcPr>
            <w:tcW w:w="1938" w:type="dxa"/>
            <w:shd w:val="clear" w:color="auto" w:fill="DCE6F1"/>
            <w:tcMar>
              <w:top w:w="70" w:type="dxa"/>
              <w:left w:w="80" w:type="dxa"/>
              <w:bottom w:w="70" w:type="dxa"/>
              <w:right w:w="80" w:type="dxa"/>
            </w:tcMar>
            <w:vAlign w:val="center"/>
          </w:tcPr>
          <w:p>
            <w:r>
              <w:rPr/>
              <w:t>状态</w:t>
            </w:r>
          </w:p>
        </w:tc>
        <w:tc>
          <w:tcPr>
            <w:tcW w:w="1938" w:type="dxa"/>
            <w:shd w:val="clear" w:color="auto" w:fill="DCE6F1"/>
            <w:tcMar>
              <w:top w:w="70" w:type="dxa"/>
              <w:left w:w="80" w:type="dxa"/>
              <w:bottom w:w="70" w:type="dxa"/>
              <w:right w:w="80" w:type="dxa"/>
            </w:tcMar>
            <w:vAlign w:val="center"/>
          </w:tcPr>
          <w:p>
            <w:r>
              <w:rPr/>
              <w:t>产物</w:t>
            </w:r>
          </w:p>
        </w:tc>
      </w:tr>
      <w:tr w14:paraId="1687A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r>
              <w:rPr/>
              <w:t>Measurement Contract</w:t>
            </w:r>
          </w:p>
        </w:tc>
        <w:tc>
          <w:tcPr>
            <w:tcW w:w="2891" w:type="dxa"/>
            <w:tcMar>
              <w:top w:w="70" w:type="dxa"/>
              <w:left w:w="80" w:type="dxa"/>
              <w:bottom w:w="70" w:type="dxa"/>
              <w:right w:w="80" w:type="dxa"/>
            </w:tcMar>
            <w:vAlign w:val="center"/>
          </w:tcPr>
          <w:p>
            <w:r>
              <w:rPr/>
              <w:t>冻结 Token/phase、sync scope、W(s)、terminal、validity、A/B/D/Signature</w:t>
            </w:r>
          </w:p>
        </w:tc>
        <w:tc>
          <w:tcPr>
            <w:tcW w:w="2608" w:type="dxa"/>
            <w:tcMar>
              <w:top w:w="70" w:type="dxa"/>
              <w:left w:w="80" w:type="dxa"/>
              <w:bottom w:w="70" w:type="dxa"/>
              <w:right w:w="80" w:type="dxa"/>
            </w:tcMar>
            <w:vAlign w:val="center"/>
          </w:tcPr>
          <w:p>
            <w:r>
              <w:rPr/>
              <w:t>规则可测试、无未决语义</w:t>
            </w:r>
          </w:p>
        </w:tc>
        <w:tc>
          <w:tcPr>
            <w:tcW w:w="1701" w:type="dxa"/>
            <w:tcMar>
              <w:top w:w="70" w:type="dxa"/>
              <w:left w:w="80" w:type="dxa"/>
              <w:bottom w:w="70" w:type="dxa"/>
              <w:right w:w="80" w:type="dxa"/>
            </w:tcMar>
            <w:vAlign w:val="center"/>
          </w:tcPr>
          <w:p>
            <w:r>
              <w:rPr/>
              <w:t>进行中；Gate 1=FAIL</w:t>
            </w:r>
          </w:p>
        </w:tc>
        <w:tc>
          <w:tcPr>
            <w:tcW w:w="1928" w:type="dxa"/>
            <w:tcMar>
              <w:top w:w="70" w:type="dxa"/>
              <w:left w:w="80" w:type="dxa"/>
              <w:bottom w:w="70" w:type="dxa"/>
              <w:right w:w="80" w:type="dxa"/>
            </w:tcMar>
            <w:vAlign w:val="center"/>
          </w:tcPr>
          <w:p>
            <w:r>
              <w:rPr/>
              <w:t>Measurement Contract v0.2</w:t>
            </w:r>
          </w:p>
        </w:tc>
      </w:tr>
      <w:tr w14:paraId="42437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8FAFC"/>
            <w:tcMar>
              <w:top w:w="70" w:type="dxa"/>
              <w:left w:w="80" w:type="dxa"/>
              <w:bottom w:w="70" w:type="dxa"/>
              <w:right w:w="80" w:type="dxa"/>
            </w:tcMar>
            <w:vAlign w:val="center"/>
          </w:tcPr>
          <w:p>
            <w:r>
              <w:rPr/>
              <w:t>Q0 oracle</w:t>
            </w:r>
          </w:p>
        </w:tc>
        <w:tc>
          <w:tcPr>
            <w:tcW w:w="2891" w:type="dxa"/>
            <w:shd w:val="clear" w:color="auto" w:fill="F8FAFC"/>
            <w:tcMar>
              <w:top w:w="70" w:type="dxa"/>
              <w:left w:w="80" w:type="dxa"/>
              <w:bottom w:w="70" w:type="dxa"/>
              <w:right w:w="80" w:type="dxa"/>
            </w:tcMar>
            <w:vAlign w:val="center"/>
          </w:tcPr>
          <w:p>
            <w:r>
              <w:rPr/>
              <w:t>为正例、负例、含糊例预写独立标准答案</w:t>
            </w:r>
          </w:p>
        </w:tc>
        <w:tc>
          <w:tcPr>
            <w:tcW w:w="2608" w:type="dxa"/>
            <w:shd w:val="clear" w:color="auto" w:fill="F8FAFC"/>
            <w:tcMar>
              <w:top w:w="70" w:type="dxa"/>
              <w:left w:w="80" w:type="dxa"/>
              <w:bottom w:w="70" w:type="dxa"/>
              <w:right w:w="80" w:type="dxa"/>
            </w:tcMar>
            <w:vAlign w:val="center"/>
          </w:tcPr>
          <w:p>
            <w:r>
              <w:rPr/>
              <w:t>不调用或复制 analyzer</w:t>
            </w:r>
          </w:p>
        </w:tc>
        <w:tc>
          <w:tcPr>
            <w:tcW w:w="1701" w:type="dxa"/>
            <w:shd w:val="clear" w:color="auto" w:fill="F8FAFC"/>
            <w:tcMar>
              <w:top w:w="70" w:type="dxa"/>
              <w:left w:w="80" w:type="dxa"/>
              <w:bottom w:w="70" w:type="dxa"/>
              <w:right w:w="80" w:type="dxa"/>
            </w:tcMar>
            <w:vAlign w:val="center"/>
          </w:tcPr>
          <w:p>
            <w:r>
              <w:rPr/>
              <w:t>未开始</w:t>
            </w:r>
          </w:p>
        </w:tc>
        <w:tc>
          <w:tcPr>
            <w:tcW w:w="1928" w:type="dxa"/>
            <w:shd w:val="clear" w:color="auto" w:fill="F8FAFC"/>
            <w:tcMar>
              <w:top w:w="70" w:type="dxa"/>
              <w:left w:w="80" w:type="dxa"/>
              <w:bottom w:w="70" w:type="dxa"/>
              <w:right w:w="80" w:type="dxa"/>
            </w:tcMar>
            <w:vAlign w:val="center"/>
          </w:tcPr>
          <w:p>
            <w:r>
              <w:rPr/>
              <w:t>Q0 case registry + expected</w:t>
            </w:r>
          </w:p>
        </w:tc>
      </w:tr>
      <w:tr w14:paraId="3D94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r>
              <w:rPr/>
              <w:t>离线实现链</w:t>
            </w:r>
          </w:p>
        </w:tc>
        <w:tc>
          <w:tcPr>
            <w:tcW w:w="2891" w:type="dxa"/>
            <w:tcMar>
              <w:top w:w="70" w:type="dxa"/>
              <w:left w:w="80" w:type="dxa"/>
              <w:bottom w:w="70" w:type="dxa"/>
              <w:right w:w="80" w:type="dxa"/>
            </w:tcMar>
            <w:vAlign w:val="center"/>
          </w:tcPr>
          <w:p>
            <w:r>
              <w:rPr/>
              <w:t>Canonical Raw→S→A/B→D/Signature</w:t>
            </w:r>
          </w:p>
        </w:tc>
        <w:tc>
          <w:tcPr>
            <w:tcW w:w="2608" w:type="dxa"/>
            <w:tcMar>
              <w:top w:w="70" w:type="dxa"/>
              <w:left w:w="80" w:type="dxa"/>
              <w:bottom w:w="70" w:type="dxa"/>
              <w:right w:w="80" w:type="dxa"/>
            </w:tcMar>
            <w:vAlign w:val="center"/>
          </w:tcPr>
          <w:p>
            <w:r>
              <w:rPr/>
              <w:t>合成 fixture 与不变量测试通过</w:t>
            </w:r>
          </w:p>
        </w:tc>
        <w:tc>
          <w:tcPr>
            <w:tcW w:w="1701" w:type="dxa"/>
            <w:tcMar>
              <w:top w:w="70" w:type="dxa"/>
              <w:left w:w="80" w:type="dxa"/>
              <w:bottom w:w="70" w:type="dxa"/>
              <w:right w:w="80" w:type="dxa"/>
            </w:tcMar>
            <w:vAlign w:val="center"/>
          </w:tcPr>
          <w:p>
            <w:r>
              <w:rPr/>
              <w:t>未完成</w:t>
            </w:r>
          </w:p>
        </w:tc>
        <w:tc>
          <w:tcPr>
            <w:tcW w:w="1928" w:type="dxa"/>
            <w:tcMar>
              <w:top w:w="70" w:type="dxa"/>
              <w:left w:w="80" w:type="dxa"/>
              <w:bottom w:w="70" w:type="dxa"/>
              <w:right w:w="80" w:type="dxa"/>
            </w:tcMar>
            <w:vAlign w:val="center"/>
          </w:tcPr>
          <w:p>
            <w:r>
              <w:rPr/>
              <w:t>版本化 schema、代码与测试</w:t>
            </w:r>
          </w:p>
        </w:tc>
      </w:tr>
    </w:tbl>
    <w:p w14:paraId="27B0D4CB">
      <w:pPr>
        <w:spacing w:after="20"/>
        <w:rPr>
          <w:rFonts w:ascii="Times New Roman" w:hAnsi="Times New Roman" w:eastAsia="宋体"/>
        </w:rPr>
      </w:pPr>
    </w:p>
    <w:p w14:paraId="7926C97D">
      <w:pPr>
        <w:rPr>
          <w:rFonts w:ascii="Times New Roman" w:hAnsi="Times New Roman" w:eastAsia="宋体"/>
        </w:rPr>
      </w:pPr>
      <w:r>
        <w:rPr>
          <w:rFonts w:ascii="Times New Roman" w:hAnsi="Times New Roman" w:eastAsia="宋体"/>
          <w:color w:val="000000"/>
        </w:rPr>
        <w:t>当前阶段结束时应能回答：每个 Token/phase 的可观察完成边界是什么；各 sync completion scope 如何定义；W(s)、terminal 和 validity 如何恢复；A/B 哪些量可加；缺证据时怎样拒绝回答。目前这些内容尚未全部冻结。</w:t>
      </w:r>
    </w:p>
    <w:p w14:paraId="42394864">
      <w:pPr>
        <w:pStyle w:val="4"/>
        <w:rPr>
          <w:rFonts w:ascii="Times New Roman" w:hAnsi="Times New Roman" w:eastAsia="宋体"/>
          <w:highlight w:val="none"/>
        </w:rPr>
      </w:pPr>
      <w:r>
        <w:rPr>
          <w:rFonts w:ascii="Times New Roman" w:hAnsi="Times New Roman" w:eastAsia="宋体"/>
          <w:color w:val="000000"/>
        </w:rPr>
        <w:t>3.2 从离线语义设计到 Pilot 与 Protocol Freeze</w:t>
      </w:r>
    </w:p>
    <w:p w14:paraId="17CC2E40">
      <w:pPr>
        <w:pStyle w:val="167"/>
        <w:rPr>
          <w:rFonts w:ascii="Times New Roman" w:hAnsi="Times New Roman" w:eastAsia="宋体"/>
          <w:highlight w:val="none"/>
        </w:rPr>
      </w:pPr>
      <w:r>
        <w:rPr>
          <w:rFonts w:ascii="Times New Roman" w:hAnsi="Times New Roman" w:eastAsia="宋体"/>
          <w:b w:val="0"/>
          <w:color w:val="000000"/>
        </w:rPr>
        <w:t>正式目录采用实验根目录 + WMPC 子目录：execution_order.csv 和 platform snapshots 位于根目录；每个 WMPC 分为 pass0/ 与 pass1/。阶段二依次完成三件事：先冻结方法语义、schema 和质量门槛；随后执行小规模 pilot；最后依据 pilot 冻结精确 WMPC、正式 repeat_count、sync_semantics_registry v1.0、C1 实现和图表/假设映射。Pilot 属于阶段二，不属于阶段一的微基准正确性测试，也不属于阶段三的正式论文数据。</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6"/>
        <w:gridCol w:w="3155"/>
        <w:gridCol w:w="2515"/>
        <w:gridCol w:w="1616"/>
      </w:tblGrid>
      <w:tr w14:paraId="7D40A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9EAF7"/>
            <w:vAlign w:val="center"/>
          </w:tcPr>
          <w:p>
            <w:r>
              <w:rPr/>
              <w:t>任务</w:t>
            </w:r>
          </w:p>
        </w:tc>
        <w:tc>
          <w:tcPr>
            <w:tcW w:w="3155" w:type="dxa"/>
            <w:shd w:val="clear" w:color="auto" w:fill="D9EAF7"/>
            <w:vAlign w:val="center"/>
          </w:tcPr>
          <w:p>
            <w:r>
              <w:rPr/>
              <w:t>研究设计层要求</w:t>
            </w:r>
          </w:p>
        </w:tc>
        <w:tc>
          <w:tcPr>
            <w:tcW w:w="2515" w:type="dxa"/>
            <w:shd w:val="clear" w:color="auto" w:fill="D9EAF7"/>
            <w:vAlign w:val="center"/>
          </w:tcPr>
          <w:p>
            <w:r>
              <w:rPr/>
              <w:t>冻结产物</w:t>
            </w:r>
          </w:p>
        </w:tc>
        <w:tc>
          <w:tcPr>
            <w:tcW w:w="1616" w:type="dxa"/>
            <w:shd w:val="clear" w:color="auto" w:fill="D9EAF7"/>
            <w:vAlign w:val="center"/>
          </w:tcPr>
          <w:p>
            <w:r>
              <w:rPr/>
              <w:t>执行细节来源</w:t>
            </w:r>
          </w:p>
        </w:tc>
      </w:tr>
      <w:tr w14:paraId="08339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收敛 RQ 与 claims</w:t>
            </w:r>
          </w:p>
        </w:tc>
        <w:tc>
          <w:tcPr>
            <w:tcW w:w="3155" w:type="dxa"/>
            <w:vAlign w:val="center"/>
          </w:tcPr>
          <w:p>
            <w:r>
              <w:rPr/>
              <w:t>区分核心、增强与降级 claim，预先定义不可声称内容。</w:t>
            </w:r>
          </w:p>
        </w:tc>
        <w:tc>
          <w:tcPr>
            <w:tcW w:w="2515" w:type="dxa"/>
            <w:vAlign w:val="center"/>
          </w:tcPr>
          <w:p>
            <w:r>
              <w:rPr/>
              <w:t>Claim—evidence map</w:t>
            </w:r>
          </w:p>
        </w:tc>
        <w:tc>
          <w:tcPr>
            <w:tcW w:w="1616" w:type="dxa"/>
            <w:vAlign w:val="center"/>
          </w:tcPr>
          <w:p>
            <w:r>
              <w:rPr/>
              <w:t>实验协议 v2.1</w:t>
            </w:r>
          </w:p>
        </w:tc>
      </w:tr>
      <w:tr w14:paraId="24588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完成 Pilot</w:t>
            </w:r>
          </w:p>
        </w:tc>
        <w:tc>
          <w:tcPr>
            <w:tcW w:w="3155" w:type="dxa"/>
            <w:vAlign w:val="center"/>
          </w:tcPr>
          <w:p>
            <w:r>
              <w:rPr/>
              <w:t>验证共同可行域、采集稳定性、Q0 oracle、N1 可插入性、C1 可行性与外部平台运行。</w:t>
            </w:r>
          </w:p>
        </w:tc>
        <w:tc>
          <w:tcPr>
            <w:tcW w:w="2515" w:type="dxa"/>
            <w:vAlign w:val="center"/>
          </w:tcPr>
          <w:p>
            <w:r>
              <w:rPr/>
              <w:t>pilot_report、异常与可行域清单</w:t>
            </w:r>
          </w:p>
        </w:tc>
        <w:tc>
          <w:tcPr>
            <w:tcW w:w="1616" w:type="dxa"/>
            <w:vAlign w:val="center"/>
          </w:tcPr>
          <w:p>
            <w:r>
              <w:rPr/>
              <w:t>实验协议 v2.1</w:t>
            </w:r>
          </w:p>
        </w:tc>
      </w:tr>
      <w:tr w14:paraId="2F17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Protocol Freeze</w:t>
            </w:r>
          </w:p>
        </w:tc>
        <w:tc>
          <w:tcPr>
            <w:tcW w:w="3155" w:type="dxa"/>
            <w:vAlign w:val="center"/>
          </w:tcPr>
          <w:p>
            <w:r>
              <w:rPr/>
              <w:t>冻结 WMPC、sentinel、Pass、repeat、coverage、baseline、留出规则和停止条件。</w:t>
            </w:r>
          </w:p>
        </w:tc>
        <w:tc>
          <w:tcPr>
            <w:tcW w:w="2515" w:type="dxa"/>
            <w:vAlign w:val="center"/>
          </w:tcPr>
          <w:p>
            <w:r>
              <w:rPr/>
              <w:t>协议 tag、manifest schema、registry/oracle 版本</w:t>
            </w:r>
          </w:p>
        </w:tc>
        <w:tc>
          <w:tcPr>
            <w:tcW w:w="1616" w:type="dxa"/>
            <w:vAlign w:val="center"/>
          </w:tcPr>
          <w:p>
            <w:r>
              <w:rPr/>
              <w:t>实验协议 v2.1</w:t>
            </w:r>
          </w:p>
        </w:tc>
      </w:tr>
      <w:tr w14:paraId="4147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6" w:type="dxa"/>
            <w:vAlign w:val="center"/>
          </w:tcPr>
          <w:p>
            <w:r>
              <w:rPr/>
              <w:t>预注册分析</w:t>
            </w:r>
          </w:p>
        </w:tc>
        <w:tc>
          <w:tcPr>
            <w:tcW w:w="3155" w:type="dxa"/>
            <w:vAlign w:val="center"/>
          </w:tcPr>
          <w:p>
            <w:r>
              <w:rPr/>
              <w:t>冻结 D/CI、ΔA、图表映射和负结果处理。</w:t>
            </w:r>
          </w:p>
        </w:tc>
        <w:tc>
          <w:tcPr>
            <w:tcW w:w="2515" w:type="dxa"/>
            <w:vAlign w:val="center"/>
          </w:tcPr>
          <w:p>
            <w:r>
              <w:rPr/>
              <w:t>analysis plan</w:t>
            </w:r>
          </w:p>
        </w:tc>
        <w:tc>
          <w:tcPr>
            <w:tcW w:w="1616" w:type="dxa"/>
            <w:vAlign w:val="center"/>
          </w:tcPr>
          <w:p>
            <w:r>
              <w:rPr/>
              <w:t>实验协议 v2.1</w:t>
            </w:r>
          </w:p>
        </w:tc>
      </w:tr>
    </w:tbl>
    <w:p w14:paraId="474112C7">
      <w:pPr>
        <w:pStyle w:val="5"/>
        <w:rPr>
          <w:rFonts w:ascii="Times New Roman" w:hAnsi="Times New Roman" w:eastAsia="宋体"/>
          <w:highlight w:val="none"/>
        </w:rPr>
      </w:pPr>
      <w:r>
        <w:rPr>
          <w:rFonts w:ascii="Times New Roman" w:hAnsi="Times New Roman" w:eastAsia="宋体"/>
          <w:color w:val="000000"/>
        </w:rPr>
        <w:t>3.2.1 Pilot 在四阶段路线中的位置</w:t>
      </w:r>
    </w:p>
    <w:p w14:paraId="10E0788E">
      <w:pPr>
        <w:pStyle w:val="167"/>
        <w:rPr>
          <w:rFonts w:ascii="Times New Roman" w:hAnsi="Times New Roman" w:eastAsia="宋体"/>
          <w:highlight w:val="none"/>
        </w:rPr>
      </w:pPr>
      <w:r>
        <w:rPr>
          <w:rFonts w:ascii="Times New Roman" w:hAnsi="Times New Roman" w:eastAsia="宋体"/>
          <w:b w:val="0"/>
          <w:color w:val="000000"/>
        </w:rPr>
        <w:t>执行顺序为：封存 Prototype→Measurement Contract→Q0 oracle→Canonical Raw→S→A/B→D/Signature→Q0→runner 对齐→Engineering Pilot→平台资格→OOM/可行域→Pilot→Protocol Freeze→N1/G1→G2。Pilot 只用于确定运行政策，Formal 数据必须在 Freeze 后重新采集。</w:t>
      </w:r>
    </w:p>
    <w:p w14:paraId="5D35C651">
      <w:pPr>
        <w:pStyle w:val="5"/>
        <w:rPr>
          <w:rFonts w:ascii="Times New Roman" w:hAnsi="Times New Roman" w:eastAsia="宋体"/>
          <w:highlight w:val="none"/>
        </w:rPr>
      </w:pPr>
      <w:r>
        <w:rPr>
          <w:rFonts w:ascii="Times New Roman" w:hAnsi="Times New Roman" w:eastAsia="宋体"/>
          <w:color w:val="000000"/>
        </w:rPr>
        <w:t>3.2.2 与实验协议 v2.1 的职责接口</w:t>
      </w:r>
    </w:p>
    <w:p w14:paraId="26DEA32A">
      <w:pPr>
        <w:rPr>
          <w:rFonts w:ascii="Times New Roman" w:hAnsi="Times New Roman" w:eastAsia="宋体"/>
          <w:highlight w:val="none"/>
        </w:rPr>
      </w:pPr>
      <w:r>
        <w:rPr>
          <w:rFonts w:ascii="Times New Roman" w:hAnsi="Times New Roman" w:eastAsia="宋体"/>
          <w:color w:val="000000"/>
        </w:rPr>
        <w:t>本文件只规定 Pilot 必须回答哪些研究风险：共同可行域是否成立、Q0 是否达到资格、N1 是否能够制造可解释的等待迁移、C1 是否稳定、Pass 1 是否在开销门槛内，以及正式统计规则能否预先冻结。</w:t>
      </w:r>
    </w:p>
    <w:p w14:paraId="361DBDBE">
      <w:pPr>
        <w:pStyle w:val="167"/>
        <w:rPr>
          <w:rFonts w:ascii="Times New Roman" w:hAnsi="Times New Roman" w:eastAsia="宋体"/>
          <w:highlight w:val="none"/>
        </w:rPr>
      </w:pPr>
      <w:r>
        <w:rPr>
          <w:rFonts w:ascii="Times New Roman" w:hAnsi="Times New Roman" w:eastAsia="宋体"/>
          <w:color w:val="000000"/>
        </w:rPr>
        <w:t>候选 sentinel、warmup/repeat、运行顺序、失败重跑、coverage 门槛、G2 候选和停止规则由实验协议 v2.1 维护，并由平台资格、OOM 探测与 Pilot 提供依据；研究设计只维护研究问题、方法语义和证据—主张边界。</w:t>
      </w:r>
    </w:p>
    <w:p w14:paraId="352C8FB4">
      <w:pPr>
        <w:pStyle w:val="5"/>
        <w:rPr>
          <w:rFonts w:ascii="Times New Roman" w:hAnsi="Times New Roman" w:eastAsia="宋体"/>
        </w:rPr>
      </w:pPr>
      <w:r>
        <w:rPr>
          <w:rFonts w:ascii="Times New Roman" w:hAnsi="Times New Roman" w:eastAsia="宋体"/>
          <w:b w:val="0"/>
          <w:i w:val="0"/>
          <w:color w:val="000000"/>
        </w:rPr>
        <w:t>3.2.3 Measurement Contract 与阶段 Gate</w:t>
      </w:r>
    </w:p>
    <w:p w14:paraId="2BCBA06B">
      <w:pPr>
        <w:pStyle w:val="167"/>
        <w:rPr>
          <w:rFonts w:ascii="Times New Roman" w:hAnsi="Times New Roman" w:eastAsia="宋体"/>
        </w:rPr>
      </w:pPr>
      <w:r>
        <w:rPr>
          <w:rFonts w:ascii="Times New Roman" w:hAnsi="Times New Roman" w:eastAsia="宋体"/>
          <w:b w:val="0"/>
          <w:i w:val="0"/>
          <w:color w:val="000000"/>
        </w:rPr>
        <w:t>进入真实 LLM sentinel Pilot 前，必须完成 registry v0.x、三态 wait set、ownership、invalid taxonomy 与核心 Q0 程序；进入正式主矩阵前，必须由 Pilot 发布 registry v1.0、冻结数值 quality gates，并使扩展 Q0 全部通过。Q0 失败仅允许修 analyzer/registry 后全量重跑 qualification，不允许用 G1–G4 结果反向为语义规则辩护。</w:t>
      </w:r>
    </w:p>
    <w:p w14:paraId="1E3B5DB1">
      <w:pPr>
        <w:pStyle w:val="4"/>
        <w:rPr>
          <w:rFonts w:ascii="Times New Roman" w:hAnsi="Times New Roman" w:eastAsia="宋体"/>
          <w:highlight w:val="none"/>
        </w:rPr>
      </w:pPr>
      <w:r>
        <w:rPr>
          <w:rFonts w:ascii="Times New Roman" w:hAnsi="Times New Roman" w:eastAsia="宋体"/>
          <w:color w:val="000000"/>
        </w:rPr>
        <w:t>3.3 正式证据主线：Q0→N1/G1→G2</w:t>
      </w:r>
    </w:p>
    <w:p>
      <w:pPr>
        <w:pStyle w:val="167"/>
      </w:pPr>
      <w:r>
        <w:rPr>
          <w:color w:val="000000"/>
        </w:rPr>
        <w:t>证据链必须按 Correctness→Information Gain→Decision Gain 递进。Q0 不通过时不得解释 N1/G1/G2；N1/G1 没有显示非冗余信息时，G2 不得声称来自 ExposedPath 的决策优势。</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6"/>
        <w:gridCol w:w="2933"/>
        <w:gridCol w:w="3086"/>
        <w:gridCol w:w="1057"/>
      </w:tblGrid>
      <w:tr w14:paraId="15759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46" w:type="dxa"/>
            <w:shd w:val="clear" w:color="auto" w:fill="D9EAF7"/>
            <w:vAlign w:val="center"/>
          </w:tcPr>
          <w:p>
            <w:r>
              <w:rPr/>
              <w:t>证据块</w:t>
            </w:r>
          </w:p>
        </w:tc>
        <w:tc>
          <w:tcPr>
            <w:tcW w:w="0" w:type="auto"/>
            <w:shd w:val="clear" w:color="auto" w:fill="D9EAF7"/>
            <w:vAlign w:val="center"/>
          </w:tcPr>
          <w:p>
            <w:r>
              <w:rPr/>
              <w:t>核心研究作用</w:t>
            </w:r>
          </w:p>
        </w:tc>
        <w:tc>
          <w:tcPr>
            <w:tcW w:w="3086" w:type="dxa"/>
            <w:shd w:val="clear" w:color="auto" w:fill="D9EAF7"/>
            <w:vAlign w:val="center"/>
          </w:tcPr>
          <w:p>
            <w:r>
              <w:rPr/>
              <w:t>进入正文的最低条件</w:t>
            </w:r>
          </w:p>
        </w:tc>
        <w:tc>
          <w:tcPr>
            <w:tcW w:w="1057" w:type="dxa"/>
            <w:shd w:val="clear" w:color="auto" w:fill="D9EAF7"/>
            <w:vAlign w:val="center"/>
          </w:tcPr>
          <w:p>
            <w:r>
              <w:rPr/>
              <w:t>精确矩阵</w:t>
            </w:r>
          </w:p>
        </w:tc>
      </w:tr>
      <w:tr w14:paraId="796A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6" w:type="dxa"/>
            <w:vAlign w:val="center"/>
          </w:tcPr>
          <w:p>
            <w:r>
              <w:rPr/>
              <w:t>Q0 方法资格</w:t>
            </w:r>
          </w:p>
        </w:tc>
        <w:tc>
          <w:tcPr>
            <w:tcW w:w="0" w:type="auto"/>
            <w:vAlign w:val="center"/>
          </w:tcPr>
          <w:p>
            <w:r>
              <w:rPr/>
              <w:t>证明分区实现、同步语义 oracle 与 fail-closed</w:t>
            </w:r>
          </w:p>
        </w:tc>
        <w:tc>
          <w:tcPr>
            <w:tcW w:w="3086" w:type="dxa"/>
            <w:vAlign w:val="center"/>
          </w:tcPr>
          <w:p>
            <w:r>
              <w:rPr/>
              <w:t>支持微基准 exact match；真实 trace coverage 透明</w:t>
            </w:r>
          </w:p>
        </w:tc>
        <w:tc>
          <w:tcPr>
            <w:tcW w:w="1057" w:type="dxa"/>
            <w:vAlign w:val="center"/>
          </w:tcPr>
          <w:p>
            <w:r>
              <w:rPr/>
              <w:t>实验协议 v2.1</w:t>
            </w:r>
          </w:p>
        </w:tc>
      </w:tr>
      <w:tr w14:paraId="6BD6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6" w:type="dxa"/>
            <w:vAlign w:val="center"/>
          </w:tcPr>
          <w:p>
            <w:r>
              <w:rPr/>
              <w:t>N1 比较必要性</w:t>
            </w:r>
          </w:p>
        </w:tc>
        <w:tc>
          <w:tcPr>
            <w:tcW w:w="0" w:type="auto"/>
            <w:vAlign w:val="center"/>
          </w:tcPr>
          <w:p>
            <w:r>
              <w:rPr/>
              <w:t>证明传统局部指标不能替代 A/B/E2E</w:t>
            </w:r>
          </w:p>
        </w:tc>
        <w:tc>
          <w:tcPr>
            <w:tcW w:w="3086" w:type="dxa"/>
            <w:vAlign w:val="center"/>
          </w:tcPr>
          <w:p>
            <w:r>
              <w:rPr/>
              <w:t>若出现稳定 waiting migration、非冗余解释或明确等价边界则进入正文；不要求预设非平凡正结果</w:t>
            </w:r>
          </w:p>
        </w:tc>
        <w:tc>
          <w:tcPr>
            <w:tcW w:w="1057" w:type="dxa"/>
            <w:vAlign w:val="center"/>
          </w:tcPr>
          <w:p>
            <w:r>
              <w:rPr/>
              <w:t>实验协议 v2.1</w:t>
            </w:r>
          </w:p>
        </w:tc>
      </w:tr>
      <w:tr w14:paraId="2242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6" w:type="dxa"/>
            <w:vAlign w:val="center"/>
          </w:tcPr>
          <w:p>
            <w:r>
              <w:rPr/>
              <w:t>G1 工作负载主矩阵</w:t>
            </w:r>
          </w:p>
        </w:tc>
        <w:tc>
          <w:tcPr>
            <w:tcW w:w="0" w:type="auto"/>
            <w:vAlign w:val="center"/>
          </w:tcPr>
          <w:p>
            <w:r>
              <w:rPr/>
              <w:t>检验自然 workload 中 activity→exposure 的同比、非同比、区间依赖或 null</w:t>
            </w:r>
          </w:p>
        </w:tc>
        <w:tc>
          <w:tcPr>
            <w:tcW w:w="3086" w:type="dxa"/>
            <w:vAlign w:val="center"/>
          </w:tcPr>
          <w:p>
            <w:r>
              <w:rPr/>
              <w:t>结果稳定、CI/coverage 可解释并符合冻结分析；不以‘必须非显然’作为数据质量门</w:t>
            </w:r>
          </w:p>
        </w:tc>
        <w:tc>
          <w:tcPr>
            <w:tcW w:w="1057" w:type="dxa"/>
            <w:vAlign w:val="center"/>
          </w:tcPr>
          <w:p>
            <w:r>
              <w:rPr/>
              <w:t>实验协议 v2.1</w:t>
            </w:r>
          </w:p>
        </w:tc>
      </w:tr>
      <w:tr w14:paraId="6A5F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6" w:type="dxa"/>
            <w:vAlign w:val="center"/>
          </w:tcPr>
          <w:p>
            <w:r>
              <w:rPr/>
              <w:t>G2 优化行动性</w:t>
            </w:r>
          </w:p>
        </w:tc>
        <w:tc>
          <w:tcPr>
            <w:tcW w:w="0" w:type="auto"/>
            <w:vAlign w:val="center"/>
          </w:tcPr>
          <w:p>
            <w:r>
              <w:rPr/>
              <w:t>留出条件下判断收益，并用 ΔA 闭环解释</w:t>
            </w:r>
          </w:p>
        </w:tc>
        <w:tc>
          <w:tcPr>
            <w:tcW w:w="3086" w:type="dxa"/>
            <w:vAlign w:val="center"/>
          </w:tcPr>
          <w:p>
            <w:r>
              <w:rPr/>
              <w:t>相对简单 baseline 有增量，或形成清晰失败边界</w:t>
            </w:r>
          </w:p>
        </w:tc>
        <w:tc>
          <w:tcPr>
            <w:tcW w:w="1057" w:type="dxa"/>
            <w:vAlign w:val="center"/>
          </w:tcPr>
          <w:p>
            <w:r>
              <w:rPr/>
              <w:t>实验协议 v2.1</w:t>
            </w:r>
          </w:p>
        </w:tc>
      </w:tr>
      <w:tr w14:paraId="4B61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6" w:type="dxa"/>
            <w:vAlign w:val="center"/>
          </w:tcPr>
          <w:p>
            <w:r>
              <w:rPr/>
              <w:t>G3/G4 泛化</w:t>
            </w:r>
          </w:p>
        </w:tc>
        <w:tc>
          <w:tcPr>
            <w:tcW w:w="0" w:type="auto"/>
            <w:vAlign w:val="center"/>
          </w:tcPr>
          <w:p>
            <w:r>
              <w:rPr/>
              <w:t>验证模型规模与完整平台边界</w:t>
            </w:r>
          </w:p>
        </w:tc>
        <w:tc>
          <w:tcPr>
            <w:tcW w:w="3086" w:type="dxa"/>
            <w:vAlign w:val="center"/>
          </w:tcPr>
          <w:p>
            <w:r>
              <w:rPr/>
              <w:t>至少形成稳定部分、可解释迁移或明确适用边界</w:t>
            </w:r>
          </w:p>
        </w:tc>
        <w:tc>
          <w:tcPr>
            <w:tcW w:w="1057" w:type="dxa"/>
            <w:vAlign w:val="center"/>
          </w:tcPr>
          <w:p>
            <w:r>
              <w:rPr/>
              <w:t>实验协议 v2.1</w:t>
            </w:r>
          </w:p>
        </w:tc>
      </w:tr>
      <w:tr w14:paraId="24AC1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6" w:type="dxa"/>
            <w:vAlign w:val="center"/>
          </w:tcPr>
          <w:p>
            <w:r>
              <w:rPr/>
              <w:t>G5–G7 可选增强</w:t>
            </w:r>
          </w:p>
        </w:tc>
        <w:tc>
          <w:tcPr>
            <w:tcW w:w="2933" w:type="dxa"/>
            <w:vAlign w:val="center"/>
          </w:tcPr>
          <w:p>
            <w:r>
              <w:rPr/>
              <w:t>补充 MoE、表示或完整栈 case study</w:t>
            </w:r>
          </w:p>
        </w:tc>
        <w:tc>
          <w:tcPr>
            <w:tcW w:w="3086" w:type="dxa"/>
            <w:vAlign w:val="center"/>
          </w:tcPr>
          <w:p>
            <w:r>
              <w:rPr/>
              <w:t>不得影响核心组完成，不因文献增加新主线</w:t>
            </w:r>
          </w:p>
        </w:tc>
        <w:tc>
          <w:tcPr>
            <w:tcW w:w="1057" w:type="dxa"/>
            <w:vAlign w:val="center"/>
          </w:tcPr>
          <w:p>
            <w:r>
              <w:rPr/>
              <w:t>实验协议 v2.1</w:t>
            </w:r>
          </w:p>
        </w:tc>
      </w:tr>
    </w:tbl>
    <w:p w14:paraId="7C287D7A">
      <w:pPr>
        <w:spacing w:after="20"/>
        <w:rPr>
          <w:rFonts w:ascii="Times New Roman" w:hAnsi="Times New Roman" w:eastAsia="宋体"/>
          <w:highlight w:val="none"/>
        </w:rPr>
      </w:pPr>
    </w:p>
    <w:p w14:paraId="2243384F">
      <w:pPr>
        <w:rPr>
          <w:rFonts w:ascii="Times New Roman" w:hAnsi="Times New Roman" w:eastAsia="宋体"/>
          <w:highlight w:val="none"/>
        </w:rPr>
      </w:pPr>
      <w:r>
        <w:rPr>
          <w:rFonts w:ascii="Times New Roman" w:hAnsi="Times New Roman" w:eastAsia="宋体"/>
          <w:b w:val="0"/>
          <w:color w:val="000000"/>
        </w:rPr>
        <w:t>Q0 是 correctness 硬门；N1 以人为 completion-boundary intervention 检验局部指标，G1 在自然逐 Token 同步与预定义 workload 下检验 activity→exposure 的比例、非比例或区间依赖关系；G2 才检验 held-out decision gain。G3/G4 为可选适用边界，G5–G7 延后。</w:t>
      </w:r>
    </w:p>
    <w:p w14:paraId="7938B803">
      <w:pPr>
        <w:rPr>
          <w:rFonts w:ascii="Times New Roman" w:hAnsi="Times New Roman" w:eastAsia="宋体"/>
          <w:highlight w:val="none"/>
        </w:rPr>
      </w:pPr>
      <w:r>
        <w:rPr>
          <w:rFonts w:ascii="Times New Roman" w:hAnsi="Times New Roman" w:eastAsia="宋体"/>
          <w:b w:val="0"/>
          <w:color w:val="000000"/>
        </w:rPr>
        <w:t>若 compile/graph 在 Pilot 中输出不一致、graph break/capture 不稳定或无法形成可审计同栈干预，则删除或收缩 G2，不修改框架源码、不临时改用跨栈 endpoint，也不改变 A/B 测量语义。</w:t>
      </w:r>
    </w:p>
    <w:p w14:paraId="21EF690F">
      <w:pPr>
        <w:pStyle w:val="4"/>
        <w:rPr>
          <w:rFonts w:ascii="Times New Roman" w:hAnsi="Times New Roman" w:eastAsia="宋体"/>
          <w:highlight w:val="none"/>
        </w:rPr>
      </w:pPr>
      <w:r>
        <w:rPr>
          <w:rFonts w:ascii="Times New Roman" w:hAnsi="Times New Roman" w:eastAsia="宋体"/>
          <w:color w:val="000000"/>
        </w:rPr>
        <w:t>3.4 三幅核心图、论文证据链与 Artifact</w:t>
      </w:r>
    </w:p>
    <w:p>
      <w:pPr/>
      <w:r>
        <w:rPr>
          <w:color w:val="000000"/>
        </w:rPr>
        <w:t>Figure 1 说明 Raw trace 如何经 S 恢复 W(s)/terminal/validity 并形成 A/B；Figure 2 用 G1 检验 activity 与 exposure 何时同比、非同比或依赖执行区间；Figure 3 用 G2 检验这些新增信息是否影响真实优化响应。三图分别对应测得是否正确、多知道了什么、这些信息是否有用。</w:t>
      </w:r>
    </w:p>
    <w:p w14:paraId="2F71BDC3">
      <w:pPr>
        <w:rPr>
          <w:rFonts w:ascii="Times New Roman" w:hAnsi="Times New Roman" w:eastAsia="宋体"/>
          <w:highlight w:val="none"/>
        </w:rPr>
      </w:pPr>
      <w:r>
        <w:rPr>
          <w:rFonts w:ascii="Times New Roman" w:hAnsi="Times New Roman" w:eastAsia="宋体"/>
          <w:color w:val="000000"/>
        </w:rPr>
        <w:t>阶段四将 Q0 与 G1–G4 组织为正文证据链，将 G5–G7 作为按主张选择的 case study 或附录；同步完成 code/registry/protocol freeze、one-command 小样例、预生成结果与全部停止/排除记录。正文主图优先回答方法正确性、W 结构迁移、C 可行动性、M 泛化和 P 外部有效性。</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0"/>
        <w:gridCol w:w="4311"/>
        <w:gridCol w:w="1746"/>
        <w:gridCol w:w="1415"/>
      </w:tblGrid>
      <w:tr w14:paraId="158D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9EAF7"/>
            <w:vAlign w:val="center"/>
          </w:tcPr>
          <w:p>
            <w:r>
              <w:rPr/>
              <w:t>任务</w:t>
            </w:r>
          </w:p>
        </w:tc>
        <w:tc>
          <w:tcPr>
            <w:tcW w:w="4311" w:type="dxa"/>
            <w:shd w:val="clear" w:color="auto" w:fill="D9EAF7"/>
            <w:vAlign w:val="center"/>
          </w:tcPr>
          <w:p>
            <w:r>
              <w:rPr/>
              <w:t>内容</w:t>
            </w:r>
          </w:p>
        </w:tc>
        <w:tc>
          <w:tcPr>
            <w:tcW w:w="1746" w:type="dxa"/>
            <w:shd w:val="clear" w:color="auto" w:fill="D9EAF7"/>
            <w:vAlign w:val="center"/>
          </w:tcPr>
          <w:p>
            <w:r>
              <w:rPr/>
              <w:t>完成产物</w:t>
            </w:r>
          </w:p>
        </w:tc>
        <w:tc>
          <w:tcPr>
            <w:tcW w:w="1415" w:type="dxa"/>
            <w:shd w:val="clear" w:color="auto" w:fill="D9EAF7"/>
            <w:vAlign w:val="center"/>
          </w:tcPr>
          <w:p>
            <w:r>
              <w:rPr/>
              <w:t>预计周期</w:t>
            </w:r>
          </w:p>
        </w:tc>
      </w:tr>
      <w:tr w14:paraId="5824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核心结果建模</w:t>
            </w:r>
          </w:p>
        </w:tc>
        <w:tc>
          <w:tcPr>
            <w:tcW w:w="4311" w:type="dxa"/>
            <w:vAlign w:val="center"/>
          </w:tcPr>
          <w:p>
            <w:r>
              <w:rPr/>
              <w:t>G1 的条件化趋势/热图、A 绝对值/share、P0/P1 差异；G2 的 speedup-vs-D；G3/G4 的泛化。</w:t>
            </w:r>
          </w:p>
        </w:tc>
        <w:tc>
          <w:tcPr>
            <w:tcW w:w="1746" w:type="dxa"/>
            <w:vAlign w:val="center"/>
          </w:tcPr>
          <w:p>
            <w:r>
              <w:rPr/>
              <w:t>正文主图和主表</w:t>
            </w:r>
          </w:p>
        </w:tc>
        <w:tc>
          <w:tcPr>
            <w:tcW w:w="1415" w:type="dxa"/>
            <w:vAlign w:val="center"/>
          </w:tcPr>
          <w:p>
            <w:r>
              <w:rPr/>
              <w:t>1–2 周</w:t>
            </w:r>
          </w:p>
        </w:tc>
      </w:tr>
      <w:tr w14:paraId="355B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方法机制案例</w:t>
            </w:r>
          </w:p>
        </w:tc>
        <w:tc>
          <w:tcPr>
            <w:tcW w:w="4311" w:type="dxa"/>
            <w:vAlign w:val="center"/>
          </w:tcPr>
          <w:p>
            <w:r>
              <w:rPr/>
              <w:t>Q0 ground truth、Raw sum 错误案例、代表 timeline、B 分布与 fail-closed。</w:t>
            </w:r>
          </w:p>
        </w:tc>
        <w:tc>
          <w:tcPr>
            <w:tcW w:w="1746" w:type="dxa"/>
            <w:vAlign w:val="center"/>
          </w:tcPr>
          <w:p>
            <w:r>
              <w:rPr/>
              <w:t>方法验证图和 2–4 个案例</w:t>
            </w:r>
          </w:p>
        </w:tc>
        <w:tc>
          <w:tcPr>
            <w:tcW w:w="1415" w:type="dxa"/>
            <w:vAlign w:val="center"/>
          </w:tcPr>
          <w:p>
            <w:r>
              <w:rPr/>
              <w:t>3–5 天</w:t>
            </w:r>
          </w:p>
        </w:tc>
      </w:tr>
      <w:tr w14:paraId="286C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增强 case study</w:t>
            </w:r>
          </w:p>
        </w:tc>
        <w:tc>
          <w:tcPr>
            <w:tcW w:w="4311" w:type="dxa"/>
            <w:vAlign w:val="center"/>
          </w:tcPr>
          <w:p>
            <w:r>
              <w:rPr/>
              <w:t>按论文主张选择 G5、G6 或 G7 中一至两个；其余放入附录或 future work。</w:t>
            </w:r>
          </w:p>
        </w:tc>
        <w:tc>
          <w:tcPr>
            <w:tcW w:w="1746" w:type="dxa"/>
            <w:vAlign w:val="center"/>
          </w:tcPr>
          <w:p>
            <w:r>
              <w:rPr/>
              <w:t>case-study 图表</w:t>
            </w:r>
          </w:p>
        </w:tc>
        <w:tc>
          <w:tcPr>
            <w:tcW w:w="1415" w:type="dxa"/>
            <w:vAlign w:val="center"/>
          </w:tcPr>
          <w:p>
            <w:r>
              <w:rPr/>
              <w:t>额外 1–2 周</w:t>
            </w:r>
          </w:p>
        </w:tc>
      </w:tr>
      <w:tr w14:paraId="6320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50" w:type="dxa"/>
            <w:vAlign w:val="center"/>
          </w:tcPr>
          <w:p>
            <w:r>
              <w:rPr/>
              <w:t>现有方法对比</w:t>
            </w:r>
          </w:p>
        </w:tc>
        <w:tc>
          <w:tcPr>
            <w:tcW w:w="4311" w:type="dxa"/>
            <w:vAlign w:val="center"/>
          </w:tcPr>
          <w:p>
            <w:r>
              <w:rPr/>
              <w:t>raw sum、GPU utilization、queue/TKLQT/Host residual 类指标与 ExposedPath 的解释差异。</w:t>
            </w:r>
          </w:p>
        </w:tc>
        <w:tc>
          <w:tcPr>
            <w:tcW w:w="1746" w:type="dxa"/>
            <w:vAlign w:val="center"/>
          </w:tcPr>
          <w:p>
            <w:r>
              <w:rPr/>
              <w:t>baseline comparison</w:t>
            </w:r>
          </w:p>
        </w:tc>
        <w:tc>
          <w:tcPr>
            <w:tcW w:w="1415" w:type="dxa"/>
            <w:vAlign w:val="center"/>
          </w:tcPr>
          <w:p>
            <w:r>
              <w:rPr/>
              <w:t>3–5 天</w:t>
            </w:r>
          </w:p>
        </w:tc>
      </w:tr>
    </w:tbl>
    <w:p w14:paraId="3AEB85F6">
      <w:pPr>
        <w:spacing w:after="20"/>
        <w:rPr>
          <w:rFonts w:ascii="Times New Roman" w:hAnsi="Times New Roman" w:eastAsia="宋体"/>
          <w:highlight w:val="none"/>
        </w:rPr>
      </w:pPr>
    </w:p>
    <w:p w14:paraId="7A527295">
      <w:pPr>
        <w:pStyle w:val="4"/>
        <w:rPr>
          <w:rFonts w:ascii="Times New Roman" w:hAnsi="Times New Roman" w:eastAsia="宋体"/>
          <w:highlight w:val="none"/>
        </w:rPr>
      </w:pPr>
      <w:r>
        <w:rPr>
          <w:rFonts w:ascii="Times New Roman" w:hAnsi="Times New Roman" w:eastAsia="宋体"/>
          <w:color w:val="000000"/>
        </w:rPr>
        <w:t>3.5 Claim—实验组高层映射</w:t>
      </w:r>
    </w:p>
    <w:p w14:paraId="3DFB2984">
      <w:pPr>
        <w:pStyle w:val="166"/>
        <w:rPr>
          <w:rFonts w:ascii="Times New Roman" w:hAnsi="Times New Roman" w:eastAsia="宋体"/>
          <w:highlight w:val="none"/>
        </w:rPr>
      </w:pPr>
      <w:r>
        <w:rPr>
          <w:rFonts w:ascii="Times New Roman" w:hAnsi="Times New Roman" w:eastAsia="宋体"/>
          <w:color w:val="000000"/>
        </w:rPr>
        <w:t>本章只保留论文主张与证据块的对应关系。所有固定变量、执行次数、baseline 字段、质量门和成功/停止规则，以实验协议 v2.1 为唯一来源。</w:t>
      </w:r>
    </w:p>
    <w:tbl>
      <w:tblPr>
        <w:tblStyle w:val="34"/>
        <w:tblW w:w="85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1339"/>
        <w:gridCol w:w="3216"/>
        <w:gridCol w:w="2663"/>
      </w:tblGrid>
      <w:tr w14:paraId="774E1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r>
              <w:rPr/>
              <w:t>论文claim</w:t>
            </w:r>
          </w:p>
        </w:tc>
        <w:tc>
          <w:tcPr>
            <w:tcW w:w="1339" w:type="dxa"/>
            <w:vAlign w:val="center"/>
          </w:tcPr>
          <w:p>
            <w:r>
              <w:rPr/>
              <w:t>主要实验组</w:t>
            </w:r>
          </w:p>
        </w:tc>
        <w:tc>
          <w:tcPr>
            <w:tcW w:w="3216" w:type="dxa"/>
            <w:vAlign w:val="center"/>
          </w:tcPr>
          <w:p>
            <w:r>
              <w:rPr/>
              <w:t>必须观察到的证据</w:t>
            </w:r>
          </w:p>
        </w:tc>
        <w:tc>
          <w:tcPr>
            <w:tcW w:w="2663" w:type="dxa"/>
            <w:vAlign w:val="center"/>
          </w:tcPr>
          <w:p>
            <w:r>
              <w:rPr/>
              <w:t>失败时的降级</w:t>
            </w:r>
          </w:p>
        </w:tc>
      </w:tr>
      <w:tr w14:paraId="68FB8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方法可被信任</w:t>
            </w:r>
          </w:p>
        </w:tc>
        <w:tc>
          <w:tcPr>
            <w:tcW w:w="1339" w:type="dxa"/>
            <w:vAlign w:val="center"/>
          </w:tcPr>
          <w:p>
            <w:r>
              <w:rPr/>
              <w:t>Q0</w:t>
            </w:r>
          </w:p>
        </w:tc>
        <w:tc>
          <w:tcPr>
            <w:tcW w:w="3216" w:type="dxa"/>
            <w:vAlign w:val="center"/>
          </w:tcPr>
          <w:p>
            <w:r>
              <w:rPr/>
              <w:t>原子分区不变量；wait-set/terminal exact match；B oracle；fail-closed；真实 coverage</w:t>
            </w:r>
          </w:p>
        </w:tc>
        <w:tc>
          <w:tcPr>
            <w:tcW w:w="2663" w:type="dxa"/>
            <w:vAlign w:val="center"/>
          </w:tcPr>
          <w:p>
            <w:r>
              <w:rPr/>
              <w:t>停止扩矩阵并修复 analyzer</w:t>
            </w:r>
          </w:p>
        </w:tc>
      </w:tr>
      <w:tr w14:paraId="5DD7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方法具有不可替代性</w:t>
            </w:r>
          </w:p>
        </w:tc>
        <w:tc>
          <w:tcPr>
            <w:tcW w:w="1339" w:type="dxa"/>
            <w:vAlign w:val="center"/>
          </w:tcPr>
          <w:p>
            <w:r>
              <w:rPr/>
              <w:t>N1</w:t>
            </w:r>
          </w:p>
        </w:tc>
        <w:tc>
          <w:tcPr>
            <w:tcW w:w="3216" w:type="dxa"/>
            <w:vAlign w:val="center"/>
          </w:tcPr>
          <w:p>
            <w:r>
              <w:rPr/>
              <w:t>若存在稳定信息差异或明确等价边界，且 B 能解释；不预设必须误判</w:t>
            </w:r>
          </w:p>
        </w:tc>
        <w:tc>
          <w:tcPr>
            <w:tcW w:w="2663" w:type="dxa"/>
            <w:vAlign w:val="center"/>
          </w:tcPr>
          <w:p>
            <w:r>
              <w:rPr/>
              <w:t>降为鲁棒性压力测试，不作为主贡献</w:t>
            </w:r>
          </w:p>
        </w:tc>
      </w:tr>
      <w:tr w14:paraId="4899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工作负载产生非显然结构迁移</w:t>
            </w:r>
          </w:p>
        </w:tc>
        <w:tc>
          <w:tcPr>
            <w:tcW w:w="1339" w:type="dxa"/>
            <w:vAlign w:val="center"/>
          </w:tcPr>
          <w:p>
            <w:r>
              <w:rPr/>
              <w:t>G1</w:t>
            </w:r>
          </w:p>
        </w:tc>
        <w:tc>
          <w:tcPr>
            <w:tcW w:w="3216" w:type="dxa"/>
            <w:vAlign w:val="center"/>
          </w:tcPr>
          <w:p>
            <w:r>
              <w:rPr/>
              <w:t>允许同比、稳定非同比、区间依赖或 null；主张按结果限定</w:t>
            </w:r>
          </w:p>
        </w:tc>
        <w:tc>
          <w:tcPr>
            <w:tcW w:w="2663" w:type="dxa"/>
            <w:vAlign w:val="center"/>
          </w:tcPr>
          <w:p>
            <w:r>
              <w:rPr/>
              <w:t>收缩为方法论文或重新定义 workload</w:t>
            </w:r>
          </w:p>
        </w:tc>
      </w:tr>
      <w:tr w14:paraId="0F452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指标具有优化解释/指导价值</w:t>
            </w:r>
          </w:p>
        </w:tc>
        <w:tc>
          <w:tcPr>
            <w:tcW w:w="1339" w:type="dxa"/>
            <w:vAlign w:val="center"/>
          </w:tcPr>
          <w:p>
            <w:r>
              <w:rPr/>
              <w:t>G2</w:t>
            </w:r>
          </w:p>
        </w:tc>
        <w:tc>
          <w:tcPr>
            <w:tcW w:w="3216" w:type="dxa"/>
            <w:vAlign w:val="center"/>
          </w:tcPr>
          <w:p>
            <w:r>
              <w:rPr/>
              <w:t>预冻结留出验证；相对简单 baseline 有增量；ΣΔA 与 ΔT 闭合</w:t>
            </w:r>
          </w:p>
        </w:tc>
        <w:tc>
          <w:tcPr>
            <w:tcW w:w="2663" w:type="dxa"/>
            <w:vAlign w:val="center"/>
          </w:tcPr>
          <w:p>
            <w:r>
              <w:rPr/>
              <w:t>删除预测 claim，保留事后 accounting 或 characterization</w:t>
            </w:r>
          </w:p>
        </w:tc>
      </w:tr>
      <w:tr w14:paraId="3251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r>
              <w:rPr/>
              <w:t>规律具有最低充分泛化</w:t>
            </w:r>
          </w:p>
        </w:tc>
        <w:tc>
          <w:tcPr>
            <w:tcW w:w="1339" w:type="dxa"/>
            <w:vAlign w:val="center"/>
          </w:tcPr>
          <w:p>
            <w:r>
              <w:rPr/>
              <w:t>G3/G4</w:t>
            </w:r>
          </w:p>
        </w:tc>
        <w:tc>
          <w:tcPr>
            <w:tcW w:w="3216" w:type="dxa"/>
            <w:vAlign w:val="center"/>
          </w:tcPr>
          <w:p>
            <w:r>
              <w:rPr/>
              <w:t>跨模型或平台形成稳定部分、可解释变化或清晰边界</w:t>
            </w:r>
          </w:p>
        </w:tc>
        <w:tc>
          <w:tcPr>
            <w:tcW w:w="2663" w:type="dxa"/>
            <w:vAlign w:val="center"/>
          </w:tcPr>
          <w:p>
            <w:r>
              <w:rPr/>
              <w:t>限制适用范围，不追求所有轴正结果</w:t>
            </w:r>
          </w:p>
        </w:tc>
      </w:tr>
      <w:tr w14:paraId="4A9F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76" w:type="dxa"/>
            <w:vAlign w:val="center"/>
          </w:tcPr>
          <w:p>
            <w:r>
              <w:rPr/>
              <w:t>扩展机制具有附加价值</w:t>
            </w:r>
          </w:p>
        </w:tc>
        <w:tc>
          <w:tcPr>
            <w:tcW w:w="1339" w:type="dxa"/>
            <w:vAlign w:val="center"/>
          </w:tcPr>
          <w:p>
            <w:r>
              <w:rPr/>
              <w:t>G5–G7</w:t>
            </w:r>
          </w:p>
        </w:tc>
        <w:tc>
          <w:tcPr>
            <w:tcW w:w="3216" w:type="dxa"/>
            <w:vAlign w:val="center"/>
          </w:tcPr>
          <w:p>
            <w:r>
              <w:rPr/>
              <w:t>最多选择一至两个与主线直接相关的 case</w:t>
            </w:r>
          </w:p>
        </w:tc>
        <w:tc>
          <w:tcPr>
            <w:tcW w:w="2663" w:type="dxa"/>
            <w:vAlign w:val="center"/>
          </w:tcPr>
          <w:p>
            <w:r>
              <w:rPr/>
              <w:t>归入附录或未来工作</w:t>
            </w:r>
          </w:p>
        </w:tc>
      </w:tr>
    </w:tbl>
    <w:p w14:paraId="5A6D5B3D">
      <w:pPr>
        <w:pStyle w:val="3"/>
        <w:rPr>
          <w:rFonts w:ascii="Times New Roman" w:hAnsi="Times New Roman" w:eastAsia="宋体"/>
          <w:highlight w:val="none"/>
        </w:rPr>
      </w:pPr>
      <w:r>
        <w:rPr>
          <w:rFonts w:ascii="Times New Roman" w:hAnsi="Times New Roman" w:eastAsia="宋体"/>
          <w:color w:val="000000"/>
        </w:rPr>
        <w:t>第四章　最终贡献、CCF-A 证据要求、风险与扩展</w:t>
      </w:r>
    </w:p>
    <w:p w14:paraId="0E7F935F">
      <w:pPr>
        <w:pStyle w:val="4"/>
        <w:rPr>
          <w:rFonts w:ascii="Times New Roman" w:hAnsi="Times New Roman" w:eastAsia="宋体"/>
          <w:highlight w:val="none"/>
        </w:rPr>
      </w:pPr>
      <w:r>
        <w:rPr>
          <w:rFonts w:ascii="Times New Roman" w:hAnsi="Times New Roman" w:eastAsia="宋体"/>
          <w:color w:val="000000"/>
        </w:rPr>
        <w:t>4.1 最终可能形成的贡献</w:t>
      </w:r>
    </w:p>
    <w:p>
      <w:pPr>
        <w:pStyle w:val="168"/>
      </w:pPr>
      <w:r>
        <w:rPr>
          <w:color w:val="000000"/>
        </w:rPr>
        <w:t>以下贡献均为待证据支持的目标，而不是当前已完成事实。最高可防守主张由实际通过的 Gate 决定：Q0 支持正确性，N1/G1 支持信息增量，G2 支持决策增量；任何 null 或失败都必须触发对应 claim 收缩。</w:t>
      </w:r>
    </w:p>
    <w:p w14:paraId="5655637F">
      <w:pPr>
        <w:pStyle w:val="166"/>
        <w:rPr>
          <w:rFonts w:ascii="Times New Roman" w:hAnsi="Times New Roman" w:eastAsia="宋体"/>
          <w:highlight w:val="none"/>
        </w:rPr>
      </w:pPr>
      <w:r>
        <w:rPr>
          <w:rFonts w:ascii="Times New Roman" w:hAnsi="Times New Roman" w:eastAsia="宋体"/>
          <w:b w:val="0"/>
          <w:color w:val="000000"/>
        </w:rPr>
        <w:t>实验组—贡献映射：Q0→方法正确性；G1→工作负载条件化暴露结构；G2→指标指导配置优化的可行动性；G3→模型规模泛化；G4→平台外部有效性；G5/G6/G7 分别对应 MoE、表示路径和跨栈的可选增强边界。</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4541"/>
        <w:gridCol w:w="2845"/>
      </w:tblGrid>
      <w:tr w14:paraId="347D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CE6F1"/>
            <w:tcMar>
              <w:top w:w="70" w:type="dxa"/>
              <w:left w:w="80" w:type="dxa"/>
              <w:bottom w:w="70" w:type="dxa"/>
              <w:right w:w="80" w:type="dxa"/>
            </w:tcMar>
            <w:vAlign w:val="center"/>
          </w:tcPr>
          <w:p w14:paraId="3CDD813E">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贡献</w:t>
            </w:r>
          </w:p>
        </w:tc>
        <w:tc>
          <w:tcPr>
            <w:tcW w:w="4541" w:type="dxa"/>
            <w:shd w:val="clear" w:color="auto" w:fill="DCE6F1"/>
            <w:tcMar>
              <w:top w:w="70" w:type="dxa"/>
              <w:left w:w="80" w:type="dxa"/>
              <w:bottom w:w="70" w:type="dxa"/>
              <w:right w:w="80" w:type="dxa"/>
            </w:tcMar>
            <w:vAlign w:val="center"/>
          </w:tcPr>
          <w:p w14:paraId="031AF039">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内容</w:t>
            </w:r>
          </w:p>
        </w:tc>
        <w:tc>
          <w:tcPr>
            <w:tcW w:w="2845" w:type="dxa"/>
            <w:shd w:val="clear" w:color="auto" w:fill="DCE6F1"/>
            <w:tcMar>
              <w:top w:w="70" w:type="dxa"/>
              <w:left w:w="80" w:type="dxa"/>
              <w:bottom w:w="70" w:type="dxa"/>
              <w:right w:w="80" w:type="dxa"/>
            </w:tcMar>
            <w:vAlign w:val="center"/>
          </w:tcPr>
          <w:p w14:paraId="342F9B76">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最低证据</w:t>
            </w:r>
          </w:p>
        </w:tc>
      </w:tr>
      <w:tr w14:paraId="48F9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659CF10B">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方法贡献</w:t>
            </w:r>
          </w:p>
        </w:tc>
        <w:tc>
          <w:tcPr>
            <w:tcW w:w="4541" w:type="dxa"/>
            <w:tcMar>
              <w:top w:w="70" w:type="dxa"/>
              <w:left w:w="80" w:type="dxa"/>
              <w:bottom w:w="70" w:type="dxa"/>
              <w:right w:w="80" w:type="dxa"/>
            </w:tcMar>
            <w:vAlign w:val="center"/>
          </w:tcPr>
          <w:p w14:paraId="62EB92C1">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同步语义感知的 request/phase 墙钟分区：A_host_path 采用剩余型方案 A，S/B 使用显式同步语义与 fail-closed。</w:t>
            </w:r>
          </w:p>
        </w:tc>
        <w:tc>
          <w:tcPr>
            <w:tcW w:w="2845" w:type="dxa"/>
            <w:tcMar>
              <w:top w:w="70" w:type="dxa"/>
              <w:left w:w="80" w:type="dxa"/>
              <w:bottom w:w="70" w:type="dxa"/>
              <w:right w:w="80" w:type="dxa"/>
            </w:tcMar>
            <w:vAlign w:val="center"/>
          </w:tcPr>
          <w:p w14:paraId="19B78F21">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Q0 微基准 oracle + 真实 trace coverage + artifact</w:t>
            </w:r>
          </w:p>
        </w:tc>
      </w:tr>
      <w:tr w14:paraId="1F45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5532BC64">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指标贡献</w:t>
            </w:r>
          </w:p>
        </w:tc>
        <w:tc>
          <w:tcPr>
            <w:tcW w:w="4541" w:type="dxa"/>
            <w:shd w:val="clear" w:color="auto" w:fill="F8FAFC"/>
            <w:tcMar>
              <w:top w:w="70" w:type="dxa"/>
              <w:left w:w="80" w:type="dxa"/>
              <w:bottom w:w="70" w:type="dxa"/>
              <w:right w:w="80" w:type="dxa"/>
            </w:tcMar>
            <w:vAlign w:val="center"/>
          </w:tcPr>
          <w:p w14:paraId="3440E6EB">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A 与 B 明确分层；terminal hidden/exposed execution 不混淆</w:t>
            </w:r>
          </w:p>
        </w:tc>
        <w:tc>
          <w:tcPr>
            <w:tcW w:w="2845" w:type="dxa"/>
            <w:shd w:val="clear" w:color="auto" w:fill="F8FAFC"/>
            <w:tcMar>
              <w:top w:w="70" w:type="dxa"/>
              <w:left w:w="80" w:type="dxa"/>
              <w:bottom w:w="70" w:type="dxa"/>
              <w:right w:w="80" w:type="dxa"/>
            </w:tcMar>
            <w:vAlign w:val="center"/>
          </w:tcPr>
          <w:p w14:paraId="522CD2F7">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公式、反例、自动一致性检查</w:t>
            </w:r>
          </w:p>
        </w:tc>
      </w:tr>
      <w:tr w14:paraId="64E5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61F73E72">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系统发现</w:t>
            </w:r>
          </w:p>
        </w:tc>
        <w:tc>
          <w:tcPr>
            <w:tcW w:w="4541" w:type="dxa"/>
            <w:tcMar>
              <w:top w:w="70" w:type="dxa"/>
              <w:left w:w="80" w:type="dxa"/>
              <w:bottom w:w="70" w:type="dxa"/>
              <w:right w:w="80" w:type="dxa"/>
            </w:tcMar>
            <w:vAlign w:val="center"/>
          </w:tcPr>
          <w:p w14:paraId="12F0E1B1">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Prefill 的 W 迁移与 Decode 的平台条件化暴露</w:t>
            </w:r>
          </w:p>
        </w:tc>
        <w:tc>
          <w:tcPr>
            <w:tcW w:w="2845" w:type="dxa"/>
            <w:tcMar>
              <w:top w:w="70" w:type="dxa"/>
              <w:left w:w="80" w:type="dxa"/>
              <w:bottom w:w="70" w:type="dxa"/>
              <w:right w:w="80" w:type="dxa"/>
            </w:tcMar>
            <w:vAlign w:val="center"/>
          </w:tcPr>
          <w:p w14:paraId="742C775A">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双 GPU W 正式结果</w:t>
            </w:r>
          </w:p>
        </w:tc>
      </w:tr>
      <w:tr w14:paraId="417E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669ED269">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泛化贡献</w:t>
            </w:r>
          </w:p>
        </w:tc>
        <w:tc>
          <w:tcPr>
            <w:tcW w:w="4541" w:type="dxa"/>
            <w:shd w:val="clear" w:color="auto" w:fill="F8FAFC"/>
            <w:tcMar>
              <w:top w:w="70" w:type="dxa"/>
              <w:left w:w="80" w:type="dxa"/>
              <w:bottom w:w="70" w:type="dxa"/>
              <w:right w:w="80" w:type="dxa"/>
            </w:tcMar>
            <w:vAlign w:val="center"/>
          </w:tcPr>
          <w:p w14:paraId="3ECA5B2E">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M/P/C 如何移动迁移阈值与执行结构</w:t>
            </w:r>
          </w:p>
        </w:tc>
        <w:tc>
          <w:tcPr>
            <w:tcW w:w="2845" w:type="dxa"/>
            <w:shd w:val="clear" w:color="auto" w:fill="F8FAFC"/>
            <w:tcMar>
              <w:top w:w="70" w:type="dxa"/>
              <w:left w:w="80" w:type="dxa"/>
              <w:bottom w:w="70" w:type="dxa"/>
              <w:right w:w="80" w:type="dxa"/>
            </w:tcMar>
            <w:vAlign w:val="center"/>
          </w:tcPr>
          <w:p w14:paraId="73744766">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第二模型 + 一个 stack/P 分层</w:t>
            </w:r>
          </w:p>
        </w:tc>
      </w:tr>
      <w:tr w14:paraId="46B1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6" w:type="dxa"/>
            <w:tcMar>
              <w:top w:w="70" w:type="dxa"/>
              <w:left w:w="80" w:type="dxa"/>
              <w:bottom w:w="70" w:type="dxa"/>
              <w:right w:w="80" w:type="dxa"/>
            </w:tcMar>
            <w:vAlign w:val="center"/>
          </w:tcPr>
          <w:p w14:paraId="2948EB20">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可行动性（可选）</w:t>
            </w:r>
          </w:p>
        </w:tc>
        <w:tc>
          <w:tcPr>
            <w:tcW w:w="4541" w:type="dxa"/>
            <w:tcMar>
              <w:top w:w="70" w:type="dxa"/>
              <w:left w:w="80" w:type="dxa"/>
              <w:bottom w:w="70" w:type="dxa"/>
              <w:right w:w="80" w:type="dxa"/>
            </w:tcMar>
            <w:vAlign w:val="center"/>
          </w:tcPr>
          <w:p w14:paraId="6B6A61ED">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b w:val="0"/>
                <w:sz w:val="20"/>
              </w:rPr>
              <w:t>指标预测同栈 compile/graph 配置的相对收益；跨栈 endpoint 仅作外部对照</w:t>
            </w:r>
          </w:p>
        </w:tc>
        <w:tc>
          <w:tcPr>
            <w:tcW w:w="2845" w:type="dxa"/>
            <w:tcMar>
              <w:top w:w="70" w:type="dxa"/>
              <w:left w:w="80" w:type="dxa"/>
              <w:bottom w:w="70" w:type="dxa"/>
              <w:right w:w="80" w:type="dxa"/>
            </w:tcMar>
            <w:vAlign w:val="center"/>
          </w:tcPr>
          <w:p w14:paraId="4BE21714">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b w:val="0"/>
                <w:sz w:val="20"/>
              </w:rPr>
              <w:t>一个 PyTorch eager→compile/graph 配对对照</w:t>
            </w:r>
          </w:p>
        </w:tc>
      </w:tr>
    </w:tbl>
    <w:p w14:paraId="546C1BAA">
      <w:pPr>
        <w:spacing w:after="20"/>
        <w:rPr>
          <w:rFonts w:ascii="Times New Roman" w:hAnsi="Times New Roman" w:eastAsia="宋体"/>
        </w:rPr>
      </w:pPr>
    </w:p>
    <w:p w14:paraId="2FD3472D">
      <w:pPr>
        <w:pStyle w:val="4"/>
        <w:rPr>
          <w:rFonts w:ascii="Times New Roman" w:hAnsi="Times New Roman" w:eastAsia="宋体"/>
          <w:highlight w:val="none"/>
        </w:rPr>
      </w:pPr>
      <w:r>
        <w:rPr>
          <w:rFonts w:ascii="Times New Roman" w:hAnsi="Times New Roman" w:eastAsia="宋体"/>
          <w:color w:val="000000"/>
        </w:rPr>
        <w:t>4.2 Measurement/Characterization 能否达到 A 会</w:t>
      </w:r>
    </w:p>
    <w:p w14:paraId="1193DC0C">
      <w:pPr>
        <w:rPr>
          <w:rFonts w:ascii="Times New Roman" w:hAnsi="Times New Roman" w:eastAsia="宋体"/>
        </w:rPr>
      </w:pPr>
      <w:r>
        <w:rPr>
          <w:rFonts w:ascii="Times New Roman" w:hAnsi="Times New Roman" w:eastAsia="宋体"/>
          <w:color w:val="000000"/>
        </w:rPr>
        <w:t>没有源码优化并不等于只能投稿 B 类。顶级系统会议长期接收新的 measurement methodology、cross-stack profiler 和大规模 characterization。关键不是“有没有优化”，而是：方法是否新、数字是否可信、覆盖是否代表、发现是否非显然、结论是否能改变系统设计或实践。</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6954"/>
      </w:tblGrid>
      <w:tr w14:paraId="2A883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8" w:type="dxa"/>
            <w:shd w:val="clear" w:color="auto" w:fill="DCE6F1"/>
            <w:tcMar>
              <w:top w:w="70" w:type="dxa"/>
              <w:left w:w="80" w:type="dxa"/>
              <w:bottom w:w="70" w:type="dxa"/>
              <w:right w:w="80" w:type="dxa"/>
            </w:tcMar>
            <w:vAlign w:val="center"/>
          </w:tcPr>
          <w:p w14:paraId="63728797">
            <w:pPr>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A会审查维度</w:t>
            </w:r>
          </w:p>
        </w:tc>
        <w:tc>
          <w:tcPr>
            <w:tcW w:w="6954" w:type="dxa"/>
            <w:shd w:val="clear" w:color="auto" w:fill="DCE6F1"/>
            <w:tcMar>
              <w:top w:w="70" w:type="dxa"/>
              <w:left w:w="80" w:type="dxa"/>
              <w:bottom w:w="70" w:type="dxa"/>
              <w:right w:w="80" w:type="dxa"/>
            </w:tcMar>
            <w:vAlign w:val="center"/>
          </w:tcPr>
          <w:p w14:paraId="6BC52782">
            <w:pPr>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本项目需要的证据</w:t>
            </w:r>
          </w:p>
        </w:tc>
      </w:tr>
      <w:tr w14:paraId="06D80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68" w:type="dxa"/>
            <w:tcMar>
              <w:top w:w="70" w:type="dxa"/>
              <w:left w:w="80" w:type="dxa"/>
              <w:bottom w:w="70" w:type="dxa"/>
              <w:right w:w="80" w:type="dxa"/>
            </w:tcMar>
            <w:vAlign w:val="center"/>
          </w:tcPr>
          <w:p w14:paraId="4286A6D4">
            <w:pPr>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Novelty</w:t>
            </w:r>
          </w:p>
        </w:tc>
        <w:tc>
          <w:tcPr>
            <w:tcW w:w="6954" w:type="dxa"/>
            <w:tcMar>
              <w:top w:w="70" w:type="dxa"/>
              <w:left w:w="80" w:type="dxa"/>
              <w:bottom w:w="70" w:type="dxa"/>
              <w:right w:w="80" w:type="dxa"/>
            </w:tcMar>
            <w:vAlign w:val="center"/>
          </w:tcPr>
          <w:p w14:paraId="41754CC4">
            <w:pPr>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与 XSP、TKLQT、lm-Meter、TaxBreak 的边界清晰；同步语义与互斥墙钟是不可替代差异</w:t>
            </w:r>
          </w:p>
        </w:tc>
      </w:tr>
      <w:tr w14:paraId="7BB0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68" w:type="dxa"/>
            <w:shd w:val="clear" w:color="auto" w:fill="F8FAFC"/>
            <w:tcMar>
              <w:top w:w="70" w:type="dxa"/>
              <w:left w:w="80" w:type="dxa"/>
              <w:bottom w:w="70" w:type="dxa"/>
              <w:right w:w="80" w:type="dxa"/>
            </w:tcMar>
            <w:vAlign w:val="center"/>
          </w:tcPr>
          <w:p w14:paraId="5D0632B5">
            <w:pPr>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Correctness</w:t>
            </w:r>
          </w:p>
        </w:tc>
        <w:tc>
          <w:tcPr>
            <w:tcW w:w="6954" w:type="dxa"/>
            <w:shd w:val="clear" w:color="auto" w:fill="F8FAFC"/>
            <w:tcMar>
              <w:top w:w="70" w:type="dxa"/>
              <w:left w:w="80" w:type="dxa"/>
              <w:bottom w:w="70" w:type="dxa"/>
              <w:right w:w="80" w:type="dxa"/>
            </w:tcMar>
            <w:vAlign w:val="center"/>
          </w:tcPr>
          <w:p w14:paraId="1980115A">
            <w:pPr>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原子分区不变量不是主要语义证据；核心是 wait-set/terminal exact match、B 独立 oracle、failure boundary、真实 coverage、profiling overhead 与 timestamp tolerance。</w:t>
            </w:r>
          </w:p>
        </w:tc>
      </w:tr>
      <w:tr w14:paraId="6B56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68" w:type="dxa"/>
            <w:tcMar>
              <w:top w:w="70" w:type="dxa"/>
              <w:left w:w="80" w:type="dxa"/>
              <w:bottom w:w="70" w:type="dxa"/>
              <w:right w:w="80" w:type="dxa"/>
            </w:tcMar>
            <w:vAlign w:val="center"/>
          </w:tcPr>
          <w:p w14:paraId="7CA47AFD">
            <w:pPr>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Generality</w:t>
            </w:r>
          </w:p>
        </w:tc>
        <w:tc>
          <w:tcPr>
            <w:tcW w:w="6954" w:type="dxa"/>
            <w:tcMar>
              <w:top w:w="70" w:type="dxa"/>
              <w:left w:w="80" w:type="dxa"/>
              <w:bottom w:w="70" w:type="dxa"/>
              <w:right w:w="80" w:type="dxa"/>
            </w:tcMar>
            <w:vAlign w:val="center"/>
          </w:tcPr>
          <w:p w14:paraId="76F8BD27">
            <w:pPr>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b w:val="0"/>
                <w:sz w:val="20"/>
              </w:rPr>
              <w:t>至少 W 双 GPU + 第二模型 + 一个同栈 C；外部 P 强烈推荐</w:t>
            </w:r>
          </w:p>
        </w:tc>
      </w:tr>
      <w:tr w14:paraId="4EDC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68" w:type="dxa"/>
            <w:shd w:val="clear" w:color="auto" w:fill="F8FAFC"/>
            <w:tcMar>
              <w:top w:w="70" w:type="dxa"/>
              <w:left w:w="80" w:type="dxa"/>
              <w:bottom w:w="70" w:type="dxa"/>
              <w:right w:w="80" w:type="dxa"/>
            </w:tcMar>
            <w:vAlign w:val="center"/>
          </w:tcPr>
          <w:p w14:paraId="4115D610">
            <w:pPr>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Insight</w:t>
            </w:r>
          </w:p>
        </w:tc>
        <w:tc>
          <w:tcPr>
            <w:tcW w:w="6954" w:type="dxa"/>
            <w:shd w:val="clear" w:color="auto" w:fill="F8FAFC"/>
            <w:tcMar>
              <w:top w:w="70" w:type="dxa"/>
              <w:left w:w="80" w:type="dxa"/>
              <w:bottom w:w="70" w:type="dxa"/>
              <w:right w:w="80" w:type="dxa"/>
            </w:tcMar>
            <w:vAlign w:val="center"/>
          </w:tcPr>
          <w:p w14:paraId="5ACAFA8D">
            <w:pPr>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传统 raw/utilization 会误判；发现可复现的 phase-conditioned migration</w:t>
            </w:r>
          </w:p>
        </w:tc>
      </w:tr>
      <w:tr w14:paraId="6EE0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68" w:type="dxa"/>
            <w:tcMar>
              <w:top w:w="70" w:type="dxa"/>
              <w:left w:w="80" w:type="dxa"/>
              <w:bottom w:w="70" w:type="dxa"/>
              <w:right w:w="80" w:type="dxa"/>
            </w:tcMar>
            <w:vAlign w:val="center"/>
          </w:tcPr>
          <w:p w14:paraId="55E44FA5">
            <w:pPr>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Actionability</w:t>
            </w:r>
          </w:p>
        </w:tc>
        <w:tc>
          <w:tcPr>
            <w:tcW w:w="6954" w:type="dxa"/>
            <w:tcMar>
              <w:top w:w="70" w:type="dxa"/>
              <w:left w:w="80" w:type="dxa"/>
              <w:bottom w:w="70" w:type="dxa"/>
              <w:right w:w="80" w:type="dxa"/>
            </w:tcMar>
            <w:vAlign w:val="center"/>
          </w:tcPr>
          <w:p w14:paraId="32104A61">
            <w:pPr>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b w:val="0"/>
                <w:sz w:val="20"/>
              </w:rPr>
              <w:t>无需自研算子，但应给出 framework/hardware/configuration implications；同栈 compile/graph 干预增强可行动性</w:t>
            </w:r>
          </w:p>
        </w:tc>
      </w:tr>
      <w:tr w14:paraId="28AE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68" w:type="dxa"/>
            <w:shd w:val="clear" w:color="auto" w:fill="F8FAFC"/>
            <w:tcMar>
              <w:top w:w="70" w:type="dxa"/>
              <w:left w:w="80" w:type="dxa"/>
              <w:bottom w:w="70" w:type="dxa"/>
              <w:right w:w="80" w:type="dxa"/>
            </w:tcMar>
            <w:vAlign w:val="center"/>
          </w:tcPr>
          <w:p w14:paraId="6BFE352D">
            <w:pPr>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Artifact</w:t>
            </w:r>
          </w:p>
        </w:tc>
        <w:tc>
          <w:tcPr>
            <w:tcW w:w="6954" w:type="dxa"/>
            <w:shd w:val="clear" w:color="auto" w:fill="F8FAFC"/>
            <w:tcMar>
              <w:top w:w="70" w:type="dxa"/>
              <w:left w:w="80" w:type="dxa"/>
              <w:bottom w:w="70" w:type="dxa"/>
              <w:right w:w="80" w:type="dxa"/>
            </w:tcMar>
            <w:vAlign w:val="center"/>
          </w:tcPr>
          <w:p w14:paraId="14EB47E7">
            <w:pPr>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从 trace 到图表可复现；指标定义可恢复</w:t>
            </w:r>
          </w:p>
        </w:tc>
      </w:tr>
    </w:tbl>
    <w:p w14:paraId="5A75771C">
      <w:pPr>
        <w:spacing w:after="20"/>
        <w:rPr>
          <w:rFonts w:ascii="Times New Roman" w:hAnsi="Times New Roman" w:eastAsia="宋体"/>
        </w:rPr>
      </w:pPr>
    </w:p>
    <w:p w14:paraId="092250F7">
      <w:pPr>
        <w:pStyle w:val="167"/>
        <w:shd w:val="clear" w:fill="E6F3EB"/>
        <w:rPr>
          <w:rFonts w:ascii="Times New Roman" w:hAnsi="Times New Roman" w:eastAsia="宋体"/>
        </w:rPr>
      </w:pPr>
      <w:r>
        <w:rPr>
          <w:rFonts w:ascii="Times New Roman" w:hAnsi="Times New Roman" w:eastAsia="宋体"/>
          <w:b/>
          <w:color w:val="000000"/>
        </w:rPr>
        <w:t>若最终只完成双 GPU、单模型的先导 characterization，通常不足以形成强 A 会故事；若完成正式 W、第二模型/stack 泛化和严谨 artifact，即使没有源码优化，也具有冲击高水平 measurement/system conference 的可能。</w:t>
      </w:r>
    </w:p>
    <w:p w14:paraId="01B6C0DE">
      <w:pPr>
        <w:pStyle w:val="4"/>
        <w:rPr>
          <w:rFonts w:ascii="Times New Roman" w:hAnsi="Times New Roman" w:eastAsia="宋体"/>
          <w:highlight w:val="none"/>
        </w:rPr>
      </w:pPr>
      <w:r>
        <w:rPr>
          <w:rFonts w:ascii="Times New Roman" w:hAnsi="Times New Roman" w:eastAsia="宋体"/>
          <w:color w:val="000000"/>
        </w:rPr>
        <w:t>4.3 主要风险与缓解</w:t>
      </w:r>
    </w:p>
    <w:tbl>
      <w:tblPr>
        <w:tblStyle w:val="34"/>
        <w:tblW w:w="84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9"/>
        <w:gridCol w:w="3184"/>
        <w:gridCol w:w="4143"/>
      </w:tblGrid>
      <w:tr w14:paraId="34A34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CE6F1"/>
            <w:tcMar>
              <w:top w:w="70" w:type="dxa"/>
              <w:left w:w="80" w:type="dxa"/>
              <w:bottom w:w="70" w:type="dxa"/>
              <w:right w:w="80" w:type="dxa"/>
            </w:tcMar>
            <w:vAlign w:val="center"/>
          </w:tcPr>
          <w:p w14:paraId="62899CF3">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风险</w:t>
            </w:r>
          </w:p>
        </w:tc>
        <w:tc>
          <w:tcPr>
            <w:tcW w:w="0" w:type="auto"/>
            <w:shd w:val="clear" w:color="auto" w:fill="DCE6F1"/>
            <w:tcMar>
              <w:top w:w="70" w:type="dxa"/>
              <w:left w:w="80" w:type="dxa"/>
              <w:bottom w:w="70" w:type="dxa"/>
              <w:right w:w="80" w:type="dxa"/>
            </w:tcMar>
            <w:vAlign w:val="center"/>
          </w:tcPr>
          <w:p w14:paraId="33D7AE99">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错误做法</w:t>
            </w:r>
          </w:p>
        </w:tc>
        <w:tc>
          <w:tcPr>
            <w:tcW w:w="4143" w:type="dxa"/>
            <w:shd w:val="clear" w:color="auto" w:fill="DCE6F1"/>
            <w:tcMar>
              <w:top w:w="70" w:type="dxa"/>
              <w:left w:w="80" w:type="dxa"/>
              <w:bottom w:w="70" w:type="dxa"/>
              <w:right w:w="80" w:type="dxa"/>
            </w:tcMar>
            <w:vAlign w:val="center"/>
          </w:tcPr>
          <w:p w14:paraId="633AFC82">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缓解</w:t>
            </w:r>
          </w:p>
        </w:tc>
      </w:tr>
      <w:tr w14:paraId="567F9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365CDE38">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B 语义混淆</w:t>
            </w:r>
          </w:p>
        </w:tc>
        <w:tc>
          <w:tcPr>
            <w:tcW w:w="0" w:type="auto"/>
            <w:tcMar>
              <w:top w:w="70" w:type="dxa"/>
              <w:left w:w="80" w:type="dxa"/>
              <w:bottom w:w="70" w:type="dxa"/>
              <w:right w:w="80" w:type="dxa"/>
            </w:tcMar>
            <w:vAlign w:val="center"/>
          </w:tcPr>
          <w:p w14:paraId="6CC125FE">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把 terminal_exec_total 写成 sync 阻塞；把 pre-sync 与 predecessor 相加</w:t>
            </w:r>
          </w:p>
        </w:tc>
        <w:tc>
          <w:tcPr>
            <w:tcW w:w="4143" w:type="dxa"/>
            <w:tcMar>
              <w:top w:w="70" w:type="dxa"/>
              <w:left w:w="80" w:type="dxa"/>
              <w:bottom w:w="70" w:type="dxa"/>
              <w:right w:w="80" w:type="dxa"/>
            </w:tcMar>
            <w:vAlign w:val="center"/>
          </w:tcPr>
          <w:p w14:paraId="0C04FE96">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使用 hidden/exposed 划分，post 只做验证</w:t>
            </w:r>
          </w:p>
        </w:tc>
      </w:tr>
      <w:tr w14:paraId="2F54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6C2492B0">
            <w:pPr>
              <w:keepNext/>
              <w:snapToGrid w:val="0"/>
              <w:spacing w:after="0" w:line="240" w:lineRule="auto"/>
              <w:ind w:left="0" w:leftChars="0" w:right="0" w:rightChars="0" w:firstLine="0" w:firstLineChars="0"/>
              <w:jc w:val="left"/>
              <w:rPr>
                <w:rFonts w:ascii="Times New Roman" w:hAnsi="Times New Roman" w:eastAsia="宋体"/>
                <w:sz w:val="17"/>
                <w:highlight w:val="none"/>
              </w:rPr>
            </w:pPr>
            <w:r>
              <w:rPr>
                <w:rFonts w:ascii="Times New Roman" w:hAnsi="Times New Roman" w:eastAsia="宋体"/>
                <w:sz w:val="17"/>
              </w:rPr>
              <w:t>研究边界过宽</w:t>
            </w:r>
          </w:p>
        </w:tc>
        <w:tc>
          <w:tcPr>
            <w:tcW w:w="0" w:type="auto"/>
            <w:shd w:val="clear" w:color="auto" w:fill="F8FAFC"/>
            <w:tcMar>
              <w:top w:w="70" w:type="dxa"/>
              <w:left w:w="80" w:type="dxa"/>
              <w:bottom w:w="70" w:type="dxa"/>
              <w:right w:w="80" w:type="dxa"/>
            </w:tcMar>
            <w:vAlign w:val="center"/>
          </w:tcPr>
          <w:p w14:paraId="5E863996">
            <w:pPr>
              <w:keepNext/>
              <w:snapToGrid w:val="0"/>
              <w:spacing w:after="0" w:line="240" w:lineRule="auto"/>
              <w:ind w:left="0" w:leftChars="0" w:right="0" w:rightChars="0" w:firstLine="0" w:firstLineChars="0"/>
              <w:jc w:val="left"/>
              <w:rPr>
                <w:rFonts w:ascii="Times New Roman" w:hAnsi="Times New Roman" w:eastAsia="宋体"/>
                <w:sz w:val="17"/>
                <w:highlight w:val="none"/>
              </w:rPr>
            </w:pPr>
            <w:r>
              <w:rPr>
                <w:rFonts w:ascii="Times New Roman" w:hAnsi="Times New Roman" w:eastAsia="宋体"/>
                <w:sz w:val="17"/>
              </w:rPr>
              <w:t>同时做所有 W/M/P/C 笛卡尔组合</w:t>
            </w:r>
          </w:p>
        </w:tc>
        <w:tc>
          <w:tcPr>
            <w:tcW w:w="4143" w:type="dxa"/>
            <w:shd w:val="clear" w:color="auto" w:fill="F8FAFC"/>
            <w:tcMar>
              <w:top w:w="70" w:type="dxa"/>
              <w:left w:w="80" w:type="dxa"/>
              <w:bottom w:w="70" w:type="dxa"/>
              <w:right w:w="80" w:type="dxa"/>
            </w:tcMar>
            <w:vAlign w:val="center"/>
          </w:tcPr>
          <w:p w14:paraId="35389D33">
            <w:pPr>
              <w:keepNext/>
              <w:snapToGrid w:val="0"/>
              <w:spacing w:after="0" w:line="240" w:lineRule="auto"/>
              <w:ind w:left="0" w:leftChars="0" w:right="0" w:rightChars="0" w:firstLine="0" w:firstLineChars="0"/>
              <w:jc w:val="left"/>
              <w:rPr>
                <w:rFonts w:ascii="Times New Roman" w:hAnsi="Times New Roman" w:eastAsia="宋体"/>
                <w:sz w:val="17"/>
                <w:highlight w:val="none"/>
              </w:rPr>
            </w:pPr>
            <w:r>
              <w:rPr>
                <w:rFonts w:ascii="Times New Roman" w:hAnsi="Times New Roman" w:eastAsia="宋体"/>
                <w:b w:val="0"/>
                <w:sz w:val="17"/>
              </w:rPr>
              <w:t>G1 的 W 切片完整；G2-G4 统一 sentinel；vLLM/MoE/量化仅增强</w:t>
            </w:r>
          </w:p>
        </w:tc>
      </w:tr>
      <w:tr w14:paraId="11117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458D5309">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CPU/GPU 混杂</w:t>
            </w:r>
          </w:p>
        </w:tc>
        <w:tc>
          <w:tcPr>
            <w:tcW w:w="0" w:type="auto"/>
            <w:tcMar>
              <w:top w:w="70" w:type="dxa"/>
              <w:left w:w="80" w:type="dxa"/>
              <w:bottom w:w="70" w:type="dxa"/>
              <w:right w:w="80" w:type="dxa"/>
            </w:tcMar>
            <w:vAlign w:val="center"/>
          </w:tcPr>
          <w:p w14:paraId="6E8B2BE0">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把不同主机 GPU 差异称为 GPU 效应</w:t>
            </w:r>
          </w:p>
        </w:tc>
        <w:tc>
          <w:tcPr>
            <w:tcW w:w="4143" w:type="dxa"/>
            <w:tcMar>
              <w:top w:w="70" w:type="dxa"/>
              <w:left w:w="80" w:type="dxa"/>
              <w:bottom w:w="70" w:type="dxa"/>
              <w:right w:w="80" w:type="dxa"/>
            </w:tcMar>
            <w:vAlign w:val="center"/>
          </w:tcPr>
          <w:p w14:paraId="16A459BF">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同服务器 P-core；外部设备作为完整平台</w:t>
            </w:r>
          </w:p>
        </w:tc>
      </w:tr>
      <w:tr w14:paraId="4100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4A4885F5">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短 decode</w:t>
            </w:r>
          </w:p>
        </w:tc>
        <w:tc>
          <w:tcPr>
            <w:tcW w:w="0" w:type="auto"/>
            <w:shd w:val="clear" w:color="auto" w:fill="F8FAFC"/>
            <w:tcMar>
              <w:top w:w="70" w:type="dxa"/>
              <w:left w:w="80" w:type="dxa"/>
              <w:bottom w:w="70" w:type="dxa"/>
              <w:right w:w="80" w:type="dxa"/>
            </w:tcMar>
            <w:vAlign w:val="center"/>
          </w:tcPr>
          <w:p w14:paraId="5D86A139">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output=16 代表 steady-state</w:t>
            </w:r>
          </w:p>
        </w:tc>
        <w:tc>
          <w:tcPr>
            <w:tcW w:w="4143" w:type="dxa"/>
            <w:shd w:val="clear" w:color="auto" w:fill="F8FAFC"/>
            <w:tcMar>
              <w:top w:w="70" w:type="dxa"/>
              <w:left w:w="80" w:type="dxa"/>
              <w:bottom w:w="70" w:type="dxa"/>
              <w:right w:w="80" w:type="dxa"/>
            </w:tcMar>
            <w:vAlign w:val="center"/>
          </w:tcPr>
          <w:p w14:paraId="748696F5">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正式增加 64/128 并分析中段 token</w:t>
            </w:r>
          </w:p>
        </w:tc>
      </w:tr>
      <w:tr w14:paraId="2725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595707BB">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Profiler overhead</w:t>
            </w:r>
          </w:p>
        </w:tc>
        <w:tc>
          <w:tcPr>
            <w:tcW w:w="0" w:type="auto"/>
            <w:tcMar>
              <w:top w:w="70" w:type="dxa"/>
              <w:left w:w="80" w:type="dxa"/>
              <w:bottom w:w="70" w:type="dxa"/>
              <w:right w:w="80" w:type="dxa"/>
            </w:tcMar>
            <w:vAlign w:val="center"/>
          </w:tcPr>
          <w:p w14:paraId="3CE8DA16">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直接把 Nsight 数据当真实性能</w:t>
            </w:r>
          </w:p>
        </w:tc>
        <w:tc>
          <w:tcPr>
            <w:tcW w:w="4143" w:type="dxa"/>
            <w:tcMar>
              <w:top w:w="70" w:type="dxa"/>
              <w:left w:w="80" w:type="dxa"/>
              <w:bottom w:w="70" w:type="dxa"/>
              <w:right w:w="80" w:type="dxa"/>
            </w:tcMar>
            <w:vAlign w:val="center"/>
          </w:tcPr>
          <w:p w14:paraId="19A29AF7">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Pass0/Pass1 对照</w:t>
            </w:r>
          </w:p>
        </w:tc>
      </w:tr>
      <w:tr w14:paraId="1061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0DFA6DFE">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与已有工作重叠</w:t>
            </w:r>
          </w:p>
        </w:tc>
        <w:tc>
          <w:tcPr>
            <w:tcW w:w="0" w:type="auto"/>
            <w:shd w:val="clear" w:color="auto" w:fill="F8FAFC"/>
            <w:tcMar>
              <w:top w:w="70" w:type="dxa"/>
              <w:left w:w="80" w:type="dxa"/>
              <w:bottom w:w="70" w:type="dxa"/>
              <w:right w:w="80" w:type="dxa"/>
            </w:tcMar>
            <w:vAlign w:val="center"/>
          </w:tcPr>
          <w:p w14:paraId="1DEAABAE">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只报告 Host/API/GPU 占比</w:t>
            </w:r>
          </w:p>
        </w:tc>
        <w:tc>
          <w:tcPr>
            <w:tcW w:w="4143" w:type="dxa"/>
            <w:shd w:val="clear" w:color="auto" w:fill="F8FAFC"/>
            <w:tcMar>
              <w:top w:w="70" w:type="dxa"/>
              <w:left w:w="80" w:type="dxa"/>
              <w:bottom w:w="70" w:type="dxa"/>
              <w:right w:w="80" w:type="dxa"/>
            </w:tcMar>
            <w:vAlign w:val="center"/>
          </w:tcPr>
          <w:p w14:paraId="4E3F0692">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证明 sync semantics、conservation、fail-closed 与 per-sync provenance 的独特价值</w:t>
            </w:r>
          </w:p>
        </w:tc>
      </w:tr>
      <w:tr w14:paraId="0F9CB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3FC4F097">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占比误读</w:t>
            </w:r>
          </w:p>
        </w:tc>
        <w:tc>
          <w:tcPr>
            <w:tcW w:w="0" w:type="auto"/>
            <w:tcMar>
              <w:top w:w="70" w:type="dxa"/>
              <w:left w:w="80" w:type="dxa"/>
              <w:bottom w:w="70" w:type="dxa"/>
              <w:right w:w="80" w:type="dxa"/>
            </w:tcMar>
            <w:vAlign w:val="center"/>
          </w:tcPr>
          <w:p w14:paraId="25FAC8CF">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只看 A share</w:t>
            </w:r>
          </w:p>
        </w:tc>
        <w:tc>
          <w:tcPr>
            <w:tcW w:w="4143" w:type="dxa"/>
            <w:tcMar>
              <w:top w:w="70" w:type="dxa"/>
              <w:left w:w="80" w:type="dxa"/>
              <w:bottom w:w="70" w:type="dxa"/>
              <w:right w:w="80" w:type="dxa"/>
            </w:tcMar>
            <w:vAlign w:val="center"/>
          </w:tcPr>
          <w:p w14:paraId="0191D2FC">
            <w:pPr>
              <w:keepNext/>
              <w:snapToGrid w:val="0"/>
              <w:spacing w:after="0" w:line="240" w:lineRule="auto"/>
              <w:ind w:left="0" w:leftChars="0" w:right="0" w:rightChars="0" w:firstLine="0" w:firstLineChars="0"/>
              <w:jc w:val="left"/>
              <w:rPr>
                <w:rFonts w:ascii="Times New Roman" w:hAnsi="Times New Roman" w:eastAsia="宋体"/>
                <w:sz w:val="17"/>
              </w:rPr>
            </w:pPr>
            <w:r>
              <w:rPr>
                <w:rFonts w:ascii="Times New Roman" w:hAnsi="Times New Roman" w:eastAsia="宋体"/>
                <w:sz w:val="17"/>
              </w:rPr>
              <w:t>绝对 ms 为主，share/overlap 为结构辅助</w:t>
            </w:r>
          </w:p>
        </w:tc>
      </w:tr>
      <w:tr w14:paraId="0E31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8734BAD">
            <w:pPr>
              <w:keepNext/>
              <w:snapToGrid w:val="0"/>
              <w:spacing w:line="240" w:lineRule="auto"/>
              <w:ind w:left="0" w:leftChars="0" w:right="0" w:rightChars="0" w:firstLine="0" w:firstLineChars="0"/>
              <w:jc w:val="left"/>
              <w:rPr>
                <w:rFonts w:ascii="Times New Roman" w:hAnsi="Times New Roman" w:eastAsia="宋体"/>
                <w:sz w:val="17"/>
                <w:highlight w:val="none"/>
              </w:rPr>
            </w:pPr>
            <w:r>
              <w:rPr>
                <w:rFonts w:ascii="Times New Roman" w:hAnsi="Times New Roman" w:eastAsia="宋体"/>
                <w:b w:val="0"/>
                <w:sz w:val="17"/>
              </w:rPr>
              <w:t>基线与跨栈混淆</w:t>
            </w:r>
          </w:p>
        </w:tc>
        <w:tc>
          <w:tcPr>
            <w:tcW w:w="0" w:type="auto"/>
            <w:vAlign w:val="center"/>
          </w:tcPr>
          <w:p w14:paraId="524181A7">
            <w:pPr>
              <w:keepNext/>
              <w:snapToGrid w:val="0"/>
              <w:spacing w:line="240" w:lineRule="auto"/>
              <w:ind w:left="0" w:leftChars="0" w:right="0" w:rightChars="0" w:firstLine="0" w:firstLineChars="0"/>
              <w:jc w:val="left"/>
              <w:rPr>
                <w:rFonts w:ascii="Times New Roman" w:hAnsi="Times New Roman" w:eastAsia="宋体"/>
                <w:sz w:val="17"/>
                <w:highlight w:val="none"/>
              </w:rPr>
            </w:pPr>
            <w:r>
              <w:rPr>
                <w:rFonts w:ascii="Times New Roman" w:hAnsi="Times New Roman" w:eastAsia="宋体"/>
                <w:b w:val="0"/>
                <w:sz w:val="17"/>
              </w:rPr>
              <w:t>把 PyTorch eager 写成“完全无优化”，或把 vLLM 与 eager 的差异解释为单一 CUDA Graph 效应</w:t>
            </w:r>
          </w:p>
        </w:tc>
        <w:tc>
          <w:tcPr>
            <w:tcW w:w="4143" w:type="dxa"/>
            <w:vAlign w:val="center"/>
          </w:tcPr>
          <w:p w14:paraId="02E210D0">
            <w:pPr>
              <w:keepNext/>
              <w:snapToGrid w:val="0"/>
              <w:spacing w:line="240" w:lineRule="auto"/>
              <w:ind w:left="0" w:leftChars="0" w:right="0" w:rightChars="0" w:firstLine="0" w:firstLineChars="0"/>
              <w:jc w:val="left"/>
              <w:rPr>
                <w:rFonts w:ascii="Times New Roman" w:hAnsi="Times New Roman" w:eastAsia="宋体"/>
                <w:sz w:val="17"/>
                <w:highlight w:val="none"/>
              </w:rPr>
            </w:pPr>
            <w:r>
              <w:rPr>
                <w:rFonts w:ascii="Times New Roman" w:hAnsi="Times New Roman" w:eastAsia="宋体"/>
                <w:b w:val="0"/>
                <w:sz w:val="17"/>
              </w:rPr>
              <w:t>记录 eager 下实际 backend；核心 C 只做同栈配对，vLLM 明确为完整 computing-stack endpoint</w:t>
            </w:r>
          </w:p>
        </w:tc>
      </w:tr>
      <w:tr w14:paraId="36CC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9" w:type="dxa"/>
            <w:vAlign w:val="center"/>
          </w:tcPr>
          <w:p w14:paraId="7A555BE3">
            <w:pPr>
              <w:keepNext/>
              <w:snapToGrid w:val="0"/>
              <w:spacing w:line="240" w:lineRule="auto"/>
              <w:ind w:left="0" w:leftChars="0" w:right="0" w:rightChars="0" w:firstLine="0" w:firstLineChars="0"/>
              <w:jc w:val="left"/>
              <w:rPr>
                <w:rFonts w:ascii="Times New Roman" w:hAnsi="Times New Roman" w:eastAsia="宋体"/>
                <w:sz w:val="17"/>
                <w:highlight w:val="none"/>
              </w:rPr>
            </w:pPr>
            <w:r>
              <w:rPr>
                <w:rFonts w:ascii="Times New Roman" w:hAnsi="Times New Roman" w:eastAsia="宋体"/>
                <w:sz w:val="17"/>
              </w:rPr>
              <w:t>Host 残差被过度解释</w:t>
            </w:r>
          </w:p>
        </w:tc>
        <w:tc>
          <w:tcPr>
            <w:tcW w:w="3184" w:type="dxa"/>
            <w:vAlign w:val="center"/>
          </w:tcPr>
          <w:p w14:paraId="22F767A1">
            <w:pPr>
              <w:keepNext/>
              <w:snapToGrid w:val="0"/>
              <w:spacing w:line="240" w:lineRule="auto"/>
              <w:ind w:left="0" w:leftChars="0" w:right="0" w:rightChars="0" w:firstLine="0" w:firstLineChars="0"/>
              <w:jc w:val="left"/>
              <w:rPr>
                <w:rFonts w:ascii="Times New Roman" w:hAnsi="Times New Roman" w:eastAsia="宋体"/>
                <w:sz w:val="17"/>
                <w:highlight w:val="none"/>
              </w:rPr>
            </w:pPr>
            <w:r>
              <w:rPr>
                <w:rFonts w:ascii="Times New Roman" w:hAnsi="Times New Roman" w:eastAsia="宋体"/>
                <w:sz w:val="17"/>
              </w:rPr>
              <w:t>把 A_host_path 当成 CPU busy time、具体 CPU 根因或可直接优化空间</w:t>
            </w:r>
          </w:p>
        </w:tc>
        <w:tc>
          <w:tcPr>
            <w:tcW w:w="4143" w:type="dxa"/>
            <w:vAlign w:val="center"/>
          </w:tcPr>
          <w:p w14:paraId="5FE4B706">
            <w:pPr>
              <w:keepNext/>
              <w:snapToGrid w:val="0"/>
              <w:spacing w:line="240" w:lineRule="auto"/>
              <w:ind w:left="0" w:leftChars="0" w:right="0" w:rightChars="0" w:firstLine="0" w:firstLineChars="0"/>
              <w:jc w:val="left"/>
              <w:rPr>
                <w:rFonts w:ascii="Times New Roman" w:hAnsi="Times New Roman" w:eastAsia="宋体"/>
                <w:sz w:val="17"/>
                <w:highlight w:val="none"/>
              </w:rPr>
            </w:pPr>
            <w:r>
              <w:rPr>
                <w:rFonts w:ascii="Times New Roman" w:hAnsi="Times New Roman" w:eastAsia="宋体"/>
                <w:sz w:val="17"/>
              </w:rPr>
              <w:t>保留方案 A 和字段名；明确其为请求 Host 路径剩余型 accounting，证据不足进 A_unattributed；将 CPU 执行/等待/抢占去卷积列为开放问题。</w:t>
            </w:r>
          </w:p>
        </w:tc>
      </w:tr>
    </w:tbl>
    <w:p w14:paraId="67B19FF6">
      <w:pPr>
        <w:spacing w:after="20"/>
        <w:rPr>
          <w:rFonts w:ascii="Times New Roman" w:hAnsi="Times New Roman" w:eastAsia="宋体"/>
        </w:rPr>
      </w:pPr>
    </w:p>
    <w:p w14:paraId="4519A5FA">
      <w:pPr>
        <w:pStyle w:val="4"/>
        <w:rPr>
          <w:rFonts w:ascii="Times New Roman" w:hAnsi="Times New Roman" w:eastAsia="宋体"/>
          <w:highlight w:val="none"/>
        </w:rPr>
      </w:pPr>
      <w:r>
        <w:rPr>
          <w:rFonts w:ascii="Times New Roman" w:hAnsi="Times New Roman" w:eastAsia="宋体"/>
          <w:color w:val="000000"/>
        </w:rPr>
        <w:t>4.4 扩展路线</w:t>
      </w:r>
    </w:p>
    <w:p w14:paraId="72D6468E">
      <w:pPr>
        <w:pStyle w:val="16"/>
        <w:ind w:firstLine="0"/>
        <w:rPr>
          <w:rFonts w:ascii="Times New Roman" w:hAnsi="Times New Roman" w:eastAsia="宋体"/>
          <w:highlight w:val="none"/>
        </w:rPr>
      </w:pPr>
      <w:r>
        <w:rPr>
          <w:rFonts w:ascii="Times New Roman" w:hAnsi="Times New Roman" w:eastAsia="宋体"/>
          <w:color w:val="000000"/>
        </w:rPr>
        <w:t>端侧扩展：Jetson/移动设备需要把外层 tokenization、统一内存、功耗和 thermal throttling 纳入 P；可以形成后续独立研究。</w:t>
      </w:r>
    </w:p>
    <w:p w14:paraId="5D3731E0">
      <w:pPr>
        <w:pStyle w:val="16"/>
        <w:ind w:firstLine="0"/>
        <w:rPr>
          <w:rFonts w:ascii="Times New Roman" w:hAnsi="Times New Roman" w:eastAsia="宋体"/>
          <w:highlight w:val="none"/>
        </w:rPr>
      </w:pPr>
      <w:r>
        <w:rPr>
          <w:rFonts w:ascii="Times New Roman" w:hAnsi="Times New Roman" w:eastAsia="宋体"/>
          <w:color w:val="000000"/>
        </w:rPr>
        <w:t>多 GPU 扩展：需加入 NCCL/通信 wait set 和跨设备 critical path。</w:t>
      </w:r>
    </w:p>
    <w:p w14:paraId="07FDA8A6">
      <w:pPr>
        <w:pStyle w:val="16"/>
        <w:ind w:firstLine="0"/>
        <w:rPr>
          <w:rFonts w:ascii="Times New Roman" w:hAnsi="Times New Roman" w:eastAsia="宋体"/>
          <w:highlight w:val="none"/>
        </w:rPr>
      </w:pPr>
      <w:r>
        <w:rPr>
          <w:rFonts w:ascii="Times New Roman" w:hAnsi="Times New Roman" w:eastAsia="宋体"/>
          <w:color w:val="000000"/>
        </w:rPr>
        <w:t>CPU 侧剩余路径去卷积（本文明确开放问题）：A_host_path 采用方案 A，只回答剩余 Host 请求路径占用了多少墙钟；未来可结合 owner-thread 状态、Python/C++ instrumentation、CPU sampling、调度/抢占和 runtime 内部事件，进一步区分 CPU 执行、等待与不可观测根因。</w:t>
      </w:r>
    </w:p>
    <w:p w14:paraId="2721D3E1">
      <w:pPr>
        <w:pStyle w:val="166"/>
        <w:rPr>
          <w:rFonts w:ascii="Times New Roman" w:hAnsi="Times New Roman" w:eastAsia="宋体"/>
          <w:highlight w:val="none"/>
        </w:rPr>
      </w:pPr>
      <w:r>
        <w:rPr>
          <w:rFonts w:ascii="Times New Roman" w:hAnsi="Times New Roman" w:eastAsia="宋体"/>
          <w:color w:val="000000"/>
        </w:rPr>
        <w:t>这一困难不是当前方案的缺陷掩盖，而是本文主动限定的观察边界：同步语义可以可靠恢复被等待 GPU 工作，但仅依赖 Nsys/NVTX 很难对所有 Host 残差进行细粒度、跨框架且低扰动的根因归因。</w:t>
      </w:r>
    </w:p>
    <w:p w14:paraId="53197DF1">
      <w:pPr>
        <w:pStyle w:val="16"/>
        <w:ind w:firstLine="0"/>
        <w:rPr>
          <w:rFonts w:ascii="Times New Roman" w:hAnsi="Times New Roman" w:eastAsia="宋体"/>
        </w:rPr>
      </w:pPr>
      <w:r>
        <w:rPr>
          <w:rFonts w:ascii="Times New Roman" w:hAnsi="Times New Roman" w:eastAsia="宋体"/>
          <w:color w:val="000000"/>
        </w:rPr>
        <w:t>预测扩展：若未来需要估计优化收益，可借鉴 causal profiling 或 dependency simulation，但不属于当前核心方法。</w:t>
      </w:r>
    </w:p>
    <w:p w14:paraId="772CDEB5">
      <w:pPr>
        <w:pStyle w:val="4"/>
        <w:rPr>
          <w:rFonts w:ascii="Times New Roman" w:hAnsi="Times New Roman" w:eastAsia="宋体"/>
          <w:highlight w:val="none"/>
        </w:rPr>
      </w:pPr>
      <w:r>
        <w:rPr>
          <w:rFonts w:ascii="Times New Roman" w:hAnsi="Times New Roman" w:eastAsia="宋体"/>
          <w:color w:val="000000"/>
        </w:rPr>
        <w:t>4.5 最终停止与降级条件</w:t>
      </w:r>
    </w:p>
    <w:tbl>
      <w:tblPr>
        <w:tblStyle w:val="34"/>
        <w:tblW w:w="84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6"/>
        <w:gridCol w:w="5690"/>
      </w:tblGrid>
      <w:tr w14:paraId="11E7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CE6F1"/>
            <w:tcMar>
              <w:top w:w="70" w:type="dxa"/>
              <w:left w:w="80" w:type="dxa"/>
              <w:bottom w:w="70" w:type="dxa"/>
              <w:right w:w="80" w:type="dxa"/>
            </w:tcMar>
            <w:vAlign w:val="center"/>
          </w:tcPr>
          <w:p w14:paraId="31DDF0B4">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结果</w:t>
            </w:r>
          </w:p>
        </w:tc>
        <w:tc>
          <w:tcPr>
            <w:tcW w:w="5690" w:type="dxa"/>
            <w:shd w:val="clear" w:color="auto" w:fill="DCE6F1"/>
            <w:tcMar>
              <w:top w:w="70" w:type="dxa"/>
              <w:left w:w="80" w:type="dxa"/>
              <w:bottom w:w="70" w:type="dxa"/>
              <w:right w:w="80" w:type="dxa"/>
            </w:tcMar>
            <w:vAlign w:val="center"/>
          </w:tcPr>
          <w:p w14:paraId="647A7B4C">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合理决策</w:t>
            </w:r>
          </w:p>
        </w:tc>
      </w:tr>
      <w:tr w14:paraId="4F403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4779E27A">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RQ1 失败</w:t>
            </w:r>
          </w:p>
        </w:tc>
        <w:tc>
          <w:tcPr>
            <w:tcW w:w="5690" w:type="dxa"/>
            <w:tcMar>
              <w:top w:w="70" w:type="dxa"/>
              <w:left w:w="80" w:type="dxa"/>
              <w:bottom w:w="70" w:type="dxa"/>
              <w:right w:w="80" w:type="dxa"/>
            </w:tcMar>
            <w:vAlign w:val="center"/>
          </w:tcPr>
          <w:p w14:paraId="7E293EFC">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停止扩展矩阵，修复同步/边界语义</w:t>
            </w:r>
          </w:p>
        </w:tc>
      </w:tr>
      <w:tr w14:paraId="409A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7FFA61D4">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RQ1 通过、W 迁移不稳定</w:t>
            </w:r>
          </w:p>
        </w:tc>
        <w:tc>
          <w:tcPr>
            <w:tcW w:w="5690" w:type="dxa"/>
            <w:shd w:val="clear" w:color="auto" w:fill="F8FAFC"/>
            <w:tcMar>
              <w:top w:w="70" w:type="dxa"/>
              <w:left w:w="80" w:type="dxa"/>
              <w:bottom w:w="70" w:type="dxa"/>
              <w:right w:w="80" w:type="dxa"/>
            </w:tcMar>
            <w:vAlign w:val="center"/>
          </w:tcPr>
          <w:p>
            <w:r>
              <w:rPr/>
              <w:t>保留 Q0 方法贡献，按冻结结果收缩 Information Gain；不得看完 Formal 结果后重选 workload</w:t>
            </w:r>
          </w:p>
        </w:tc>
      </w:tr>
      <w:tr w14:paraId="1B63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0" w:type="auto"/>
            <w:tcMar>
              <w:top w:w="70" w:type="dxa"/>
              <w:left w:w="80" w:type="dxa"/>
              <w:bottom w:w="70" w:type="dxa"/>
              <w:right w:w="80" w:type="dxa"/>
            </w:tcMar>
            <w:vAlign w:val="center"/>
          </w:tcPr>
          <w:p w14:paraId="269DA5E7">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b w:val="0"/>
                <w:sz w:val="20"/>
              </w:rPr>
              <w:t>W 成立但 M 或 compile/graph 干预不复制</w:t>
            </w:r>
          </w:p>
        </w:tc>
        <w:tc>
          <w:tcPr>
            <w:tcW w:w="5690" w:type="dxa"/>
            <w:tcMar>
              <w:top w:w="70" w:type="dxa"/>
              <w:left w:w="80" w:type="dxa"/>
              <w:bottom w:w="70" w:type="dxa"/>
              <w:right w:w="80" w:type="dxa"/>
            </w:tcMar>
            <w:vAlign w:val="center"/>
          </w:tcPr>
          <w:p w14:paraId="627432C0">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b w:val="0"/>
                <w:sz w:val="20"/>
              </w:rPr>
              <w:t>明确模型/执行模式适用范围；保留零结果，不临时更换 vLLM 追求正结果</w:t>
            </w:r>
          </w:p>
        </w:tc>
      </w:tr>
      <w:tr w14:paraId="5141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79F0D964">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b w:val="0"/>
                <w:sz w:val="20"/>
              </w:rPr>
              <w:t>无稳定 compile/graph 干预</w:t>
            </w:r>
          </w:p>
        </w:tc>
        <w:tc>
          <w:tcPr>
            <w:tcW w:w="5690" w:type="dxa"/>
            <w:shd w:val="clear" w:color="auto" w:fill="F8FAFC"/>
            <w:tcMar>
              <w:top w:w="70" w:type="dxa"/>
              <w:left w:w="80" w:type="dxa"/>
              <w:bottom w:w="70" w:type="dxa"/>
              <w:right w:w="80" w:type="dxa"/>
            </w:tcMar>
            <w:vAlign w:val="center"/>
          </w:tcPr>
          <w:p w14:paraId="4A65FFAE">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b w:val="0"/>
                <w:sz w:val="20"/>
              </w:rPr>
              <w:t>保留 measurement/characterization，不强行改框架源码或改用跨栈对照冒充单变量干预</w:t>
            </w:r>
          </w:p>
        </w:tc>
      </w:tr>
      <w:tr w14:paraId="2AD5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701508A4">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外部设备不可得</w:t>
            </w:r>
          </w:p>
        </w:tc>
        <w:tc>
          <w:tcPr>
            <w:tcW w:w="5690" w:type="dxa"/>
            <w:tcMar>
              <w:top w:w="70" w:type="dxa"/>
              <w:left w:w="80" w:type="dxa"/>
              <w:bottom w:w="70" w:type="dxa"/>
              <w:right w:w="80" w:type="dxa"/>
            </w:tcMar>
            <w:vAlign w:val="center"/>
          </w:tcPr>
          <w:p w14:paraId="2423B259">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不阻塞；优先补第二模型和 C</w:t>
            </w:r>
          </w:p>
        </w:tc>
      </w:tr>
      <w:tr w14:paraId="259B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76" w:type="dxa"/>
            <w:shd w:val="clear" w:color="auto" w:fill="F8FAFC"/>
            <w:tcMar>
              <w:top w:w="70" w:type="dxa"/>
              <w:left w:w="80" w:type="dxa"/>
              <w:bottom w:w="70" w:type="dxa"/>
              <w:right w:w="80" w:type="dxa"/>
            </w:tcMar>
            <w:vAlign w:val="center"/>
          </w:tcPr>
          <w:p w14:paraId="070CDD9C">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所有主证据成立</w:t>
            </w:r>
          </w:p>
        </w:tc>
        <w:tc>
          <w:tcPr>
            <w:tcW w:w="5690" w:type="dxa"/>
            <w:shd w:val="clear" w:color="auto" w:fill="F8FAFC"/>
            <w:tcMar>
              <w:top w:w="70" w:type="dxa"/>
              <w:left w:w="80" w:type="dxa"/>
              <w:bottom w:w="70" w:type="dxa"/>
              <w:right w:w="80" w:type="dxa"/>
            </w:tcMar>
            <w:vAlign w:val="center"/>
          </w:tcPr>
          <w:p w14:paraId="76FDC7B5">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形成方法—发现—泛化—系统启示的完整故事</w:t>
            </w:r>
          </w:p>
        </w:tc>
      </w:tr>
    </w:tbl>
    <w:p w14:paraId="15799EDE">
      <w:pPr>
        <w:spacing w:after="20"/>
        <w:rPr>
          <w:rFonts w:ascii="Times New Roman" w:hAnsi="Times New Roman" w:eastAsia="宋体"/>
        </w:rPr>
      </w:pPr>
    </w:p>
    <w:p w14:paraId="3B368ED6">
      <w:pPr>
        <w:pStyle w:val="4"/>
        <w:rPr>
          <w:rFonts w:ascii="Times New Roman" w:hAnsi="Times New Roman" w:eastAsia="宋体"/>
          <w:highlight w:val="none"/>
        </w:rPr>
      </w:pPr>
      <w:r>
        <w:rPr>
          <w:rFonts w:ascii="Times New Roman" w:hAnsi="Times New Roman" w:eastAsia="宋体"/>
          <w:color w:val="000000"/>
        </w:rPr>
        <w:t>4.6 最终研究主句</w:t>
      </w:r>
    </w:p>
    <w:p w14:paraId="4B2E0BC5">
      <w:pPr>
        <w:pStyle w:val="167"/>
        <w:shd w:val="clear" w:fill="E6F3EB"/>
        <w:rPr>
          <w:rFonts w:ascii="Times New Roman" w:hAnsi="Times New Roman" w:eastAsia="宋体"/>
          <w:highlight w:val="none"/>
        </w:rPr>
      </w:pPr>
      <w:r>
        <w:rPr>
          <w:rFonts w:ascii="Times New Roman" w:hAnsi="Times New Roman" w:eastAsia="宋体"/>
          <w:color w:val="000000"/>
        </w:rPr>
        <w:t>ExposedPath 面向单 GPU、请求内部的纯模型推理，依据 synchronization/completion semantics 把 activity 映射为 request-visible exposure：S 恢复 W(s)、terminal 证据与 validity；A 形成 request/phase 互斥墙钟 accounting；B 保留 per-sync hidden/exposed provenance；D 负责导航，Exposure Signature 负责从冻结 A/B 汇总机制。论文证据按 Correctness→Information Gain→Decision Gain 逐级成立。</w:t>
      </w:r>
    </w:p>
    <w:p w14:paraId="56656CC6">
      <w:pPr>
        <w:pStyle w:val="3"/>
        <w:rPr>
          <w:rFonts w:ascii="Times New Roman" w:hAnsi="Times New Roman" w:eastAsia="宋体"/>
        </w:rPr>
      </w:pPr>
      <w:r>
        <w:rPr>
          <w:rFonts w:ascii="Times New Roman" w:hAnsi="Times New Roman" w:eastAsia="宋体"/>
          <w:color w:val="000000"/>
        </w:rPr>
        <w:t>附录 A　核心指标字典</w:t>
      </w:r>
    </w:p>
    <w:tbl>
      <w:tblPr>
        <w:tblStyle w:val="34"/>
        <w:tblW w:w="85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6"/>
        <w:gridCol w:w="1067"/>
        <w:gridCol w:w="1653"/>
        <w:gridCol w:w="3214"/>
      </w:tblGrid>
      <w:tr w14:paraId="5A8EF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CE6F1"/>
            <w:tcMar>
              <w:top w:w="70" w:type="dxa"/>
              <w:left w:w="80" w:type="dxa"/>
              <w:bottom w:w="70" w:type="dxa"/>
              <w:right w:w="80" w:type="dxa"/>
            </w:tcMar>
            <w:vAlign w:val="center"/>
          </w:tcPr>
          <w:p w14:paraId="0E1CA521">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指标</w:t>
            </w:r>
          </w:p>
        </w:tc>
        <w:tc>
          <w:tcPr>
            <w:tcW w:w="0" w:type="auto"/>
            <w:shd w:val="clear" w:color="auto" w:fill="DCE6F1"/>
            <w:tcMar>
              <w:top w:w="70" w:type="dxa"/>
              <w:left w:w="80" w:type="dxa"/>
              <w:bottom w:w="70" w:type="dxa"/>
              <w:right w:w="80" w:type="dxa"/>
            </w:tcMar>
            <w:vAlign w:val="center"/>
          </w:tcPr>
          <w:p w14:paraId="0998B47B">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类型</w:t>
            </w:r>
          </w:p>
        </w:tc>
        <w:tc>
          <w:tcPr>
            <w:tcW w:w="0" w:type="auto"/>
            <w:shd w:val="clear" w:color="auto" w:fill="DCE6F1"/>
            <w:tcMar>
              <w:top w:w="70" w:type="dxa"/>
              <w:left w:w="80" w:type="dxa"/>
              <w:bottom w:w="70" w:type="dxa"/>
              <w:right w:w="80" w:type="dxa"/>
            </w:tcMar>
            <w:vAlign w:val="center"/>
          </w:tcPr>
          <w:p w14:paraId="5B1CA3C1">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是否组成墙钟</w:t>
            </w:r>
          </w:p>
        </w:tc>
        <w:tc>
          <w:tcPr>
            <w:tcW w:w="3191" w:type="dxa"/>
            <w:shd w:val="clear" w:color="auto" w:fill="DCE6F1"/>
            <w:tcMar>
              <w:top w:w="70" w:type="dxa"/>
              <w:left w:w="80" w:type="dxa"/>
              <w:bottom w:w="70" w:type="dxa"/>
              <w:right w:w="80" w:type="dxa"/>
            </w:tcMar>
            <w:vAlign w:val="center"/>
          </w:tcPr>
          <w:p w14:paraId="606A4D0C">
            <w:pPr>
              <w:keepNext/>
              <w:snapToGrid w:val="0"/>
              <w:spacing w:line="240" w:lineRule="auto"/>
              <w:ind w:left="0" w:leftChars="0" w:right="0" w:rightChars="0" w:firstLine="0" w:firstLineChars="0"/>
              <w:jc w:val="center"/>
              <w:rPr>
                <w:rFonts w:ascii="Times New Roman" w:hAnsi="Times New Roman" w:eastAsia="宋体"/>
                <w:b/>
                <w:sz w:val="17"/>
              </w:rPr>
            </w:pPr>
            <w:r>
              <w:rPr>
                <w:rFonts w:ascii="Times New Roman" w:hAnsi="Times New Roman" w:eastAsia="宋体"/>
                <w:b/>
                <w:color w:val="19375A"/>
                <w:sz w:val="17"/>
              </w:rPr>
              <w:t>用途</w:t>
            </w:r>
          </w:p>
        </w:tc>
      </w:tr>
      <w:tr w14:paraId="74EB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0EC2DE69">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A_host_path / A_cuda_api / A_device_wait / A_sync_residual / A_unattributed</w:t>
            </w:r>
          </w:p>
        </w:tc>
        <w:tc>
          <w:tcPr>
            <w:tcW w:w="0" w:type="auto"/>
            <w:tcMar>
              <w:top w:w="70" w:type="dxa"/>
              <w:left w:w="80" w:type="dxa"/>
              <w:bottom w:w="70" w:type="dxa"/>
              <w:right w:w="80" w:type="dxa"/>
            </w:tcMar>
            <w:vAlign w:val="center"/>
          </w:tcPr>
          <w:p w14:paraId="0808D7A8">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阶段 wall-clock</w:t>
            </w:r>
          </w:p>
        </w:tc>
        <w:tc>
          <w:tcPr>
            <w:tcW w:w="0" w:type="auto"/>
            <w:tcMar>
              <w:top w:w="70" w:type="dxa"/>
              <w:left w:w="80" w:type="dxa"/>
              <w:bottom w:w="70" w:type="dxa"/>
              <w:right w:w="80" w:type="dxa"/>
            </w:tcMar>
            <w:vAlign w:val="center"/>
          </w:tcPr>
          <w:p w14:paraId="3CA18C4C">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是，互斥守恒</w:t>
            </w:r>
          </w:p>
        </w:tc>
        <w:tc>
          <w:tcPr>
            <w:tcW w:w="3191" w:type="dxa"/>
            <w:tcMar>
              <w:top w:w="70" w:type="dxa"/>
              <w:left w:w="80" w:type="dxa"/>
              <w:bottom w:w="70" w:type="dxa"/>
              <w:right w:w="80" w:type="dxa"/>
            </w:tcMar>
            <w:vAlign w:val="center"/>
          </w:tcPr>
          <w:p w14:paraId="512800A7">
            <w:pPr>
              <w:keepNext/>
              <w:snapToGrid w:val="0"/>
              <w:spacing w:after="0"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主分析；其中 A_host_path 保留原字段名但采用方案 A 的剩余型请求 Host 路径定义，不等价于 CPU busy time。</w:t>
            </w:r>
          </w:p>
        </w:tc>
      </w:tr>
      <w:tr w14:paraId="6CDA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89A88B5">
            <w:pPr>
              <w:keepNext/>
              <w:snapToGrid w:val="0"/>
              <w:spacing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A_cuda_api_submit_ms / A_cuda_api_non_submit_ms</w:t>
            </w:r>
          </w:p>
        </w:tc>
        <w:tc>
          <w:tcPr>
            <w:tcW w:w="0" w:type="auto"/>
            <w:vAlign w:val="center"/>
          </w:tcPr>
          <w:p w14:paraId="0D89E79F">
            <w:pPr>
              <w:keepNext/>
              <w:snapToGrid w:val="0"/>
              <w:spacing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A_cuda_api 二级互斥分解</w:t>
            </w:r>
          </w:p>
        </w:tc>
        <w:tc>
          <w:tcPr>
            <w:tcW w:w="0" w:type="auto"/>
            <w:vAlign w:val="center"/>
          </w:tcPr>
          <w:p w14:paraId="0336340B">
            <w:pPr>
              <w:keepNext/>
              <w:snapToGrid w:val="0"/>
              <w:spacing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不新增；二者闭合为 A_cuda_api</w:t>
            </w:r>
          </w:p>
        </w:tc>
        <w:tc>
          <w:tcPr>
            <w:tcW w:w="3191" w:type="dxa"/>
            <w:vAlign w:val="center"/>
          </w:tcPr>
          <w:p w14:paraId="1444A63D">
            <w:pPr>
              <w:keepNext/>
              <w:snapToGrid w:val="0"/>
              <w:spacing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区分设备工作提交路径与非提交 CUDA API 路径</w:t>
            </w:r>
          </w:p>
        </w:tc>
      </w:tr>
      <w:tr w14:paraId="22AF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9B88696">
            <w:pPr>
              <w:keepNext/>
              <w:snapToGrid w:val="0"/>
              <w:spacing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A_device_wait_kernel_only_ms / A_device_wait_memop_only_ms / A_device_wait_kernel_memop_mixed_ms</w:t>
            </w:r>
          </w:p>
        </w:tc>
        <w:tc>
          <w:tcPr>
            <w:tcW w:w="0" w:type="auto"/>
            <w:vAlign w:val="center"/>
          </w:tcPr>
          <w:p w14:paraId="2F75EE0D">
            <w:pPr>
              <w:keepNext/>
              <w:snapToGrid w:val="0"/>
              <w:spacing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A_device_wait 二级互斥分解</w:t>
            </w:r>
          </w:p>
        </w:tc>
        <w:tc>
          <w:tcPr>
            <w:tcW w:w="0" w:type="auto"/>
            <w:vAlign w:val="center"/>
          </w:tcPr>
          <w:p w14:paraId="2C331071">
            <w:pPr>
              <w:keepNext/>
              <w:snapToGrid w:val="0"/>
              <w:spacing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不新增；三者闭合为 A_device_wait</w:t>
            </w:r>
          </w:p>
        </w:tc>
        <w:tc>
          <w:tcPr>
            <w:tcW w:w="3191" w:type="dxa"/>
            <w:vAlign w:val="center"/>
          </w:tcPr>
          <w:p w14:paraId="233C8F79">
            <w:pPr>
              <w:keepNext/>
              <w:snapToGrid w:val="0"/>
              <w:spacing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区分同步暴露等待中的 kernel、显式 MemOp 及二者重叠构成</w:t>
            </w:r>
          </w:p>
        </w:tc>
      </w:tr>
      <w:tr w14:paraId="64E21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0BB839B9">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O_api_gpu_temporal / O_hostpath_gpu_temporal</w:t>
            </w:r>
          </w:p>
        </w:tc>
        <w:tc>
          <w:tcPr>
            <w:tcW w:w="0" w:type="auto"/>
            <w:shd w:val="clear" w:color="auto" w:fill="F8FAFC"/>
            <w:tcMar>
              <w:top w:w="70" w:type="dxa"/>
              <w:left w:w="80" w:type="dxa"/>
              <w:bottom w:w="70" w:type="dxa"/>
              <w:right w:w="80" w:type="dxa"/>
            </w:tcMar>
            <w:vAlign w:val="center"/>
          </w:tcPr>
          <w:p w14:paraId="512EA503">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phase-level 时间重叠比例</w:t>
            </w:r>
          </w:p>
        </w:tc>
        <w:tc>
          <w:tcPr>
            <w:tcW w:w="0" w:type="auto"/>
            <w:shd w:val="clear" w:color="auto" w:fill="F8FAFC"/>
            <w:tcMar>
              <w:top w:w="70" w:type="dxa"/>
              <w:left w:w="80" w:type="dxa"/>
              <w:bottom w:w="70" w:type="dxa"/>
              <w:right w:w="80" w:type="dxa"/>
            </w:tcMar>
            <w:vAlign w:val="center"/>
          </w:tcPr>
          <w:p w14:paraId="77BE8CEC">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否</w:t>
            </w:r>
          </w:p>
        </w:tc>
        <w:tc>
          <w:tcPr>
            <w:tcW w:w="3191" w:type="dxa"/>
            <w:shd w:val="clear" w:color="auto" w:fill="F8FAFC"/>
            <w:tcMar>
              <w:top w:w="70" w:type="dxa"/>
              <w:left w:w="80" w:type="dxa"/>
              <w:bottom w:w="70" w:type="dxa"/>
              <w:right w:w="80" w:type="dxa"/>
            </w:tcMar>
            <w:vAlign w:val="center"/>
          </w:tcPr>
          <w:p w14:paraId="3BF88CE9">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描述 Host owner 与任意 invocation GPU activity 的时间并发；不表示依赖或关键路径覆盖</w:t>
            </w:r>
          </w:p>
        </w:tc>
      </w:tr>
      <w:tr w14:paraId="1A43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5A4D88C5">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terminal_post_api_start_delay_ms / terminal_post_api_predecessor_ms / terminal_post_api_uncovered_gap_ms</w:t>
            </w:r>
          </w:p>
        </w:tc>
        <w:tc>
          <w:tcPr>
            <w:tcW w:w="0" w:type="auto"/>
            <w:tcMar>
              <w:top w:w="70" w:type="dxa"/>
              <w:left w:w="80" w:type="dxa"/>
              <w:bottom w:w="70" w:type="dxa"/>
              <w:right w:w="80" w:type="dxa"/>
            </w:tcMar>
            <w:vAlign w:val="center"/>
          </w:tcPr>
          <w:p w14:paraId="7E8503D1">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条件性 launch-return 后启动诊断</w:t>
            </w:r>
          </w:p>
        </w:tc>
        <w:tc>
          <w:tcPr>
            <w:tcW w:w="0" w:type="auto"/>
            <w:tcMar>
              <w:top w:w="70" w:type="dxa"/>
              <w:left w:w="80" w:type="dxa"/>
              <w:bottom w:w="70" w:type="dxa"/>
              <w:right w:w="80" w:type="dxa"/>
            </w:tcMar>
            <w:vAlign w:val="center"/>
          </w:tcPr>
          <w:p w14:paraId="19FCF1B8">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否</w:t>
            </w:r>
          </w:p>
        </w:tc>
        <w:tc>
          <w:tcPr>
            <w:tcW w:w="3191" w:type="dxa"/>
            <w:tcMar>
              <w:top w:w="70" w:type="dxa"/>
              <w:left w:w="80" w:type="dxa"/>
              <w:bottom w:w="70" w:type="dxa"/>
              <w:right w:w="80" w:type="dxa"/>
            </w:tcMar>
            <w:vAlign w:val="center"/>
          </w:tcPr>
          <w:p w14:paraId="383A4636">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仅在 terminal_launch_relation_status=POST_API_START 时解释 API 返回后的启动窗口</w:t>
            </w:r>
          </w:p>
        </w:tc>
      </w:tr>
      <w:tr w14:paraId="340C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6AE4271">
            <w:pPr>
              <w:keepNext/>
              <w:snapToGrid w:val="0"/>
              <w:spacing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terminal_launch_relation_status</w:t>
            </w:r>
          </w:p>
        </w:tc>
        <w:tc>
          <w:tcPr>
            <w:tcW w:w="0" w:type="auto"/>
            <w:vAlign w:val="center"/>
          </w:tcPr>
          <w:p w14:paraId="796CB655">
            <w:pPr>
              <w:keepNext/>
              <w:snapToGrid w:val="0"/>
              <w:spacing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per-sync 条件状态</w:t>
            </w:r>
          </w:p>
        </w:tc>
        <w:tc>
          <w:tcPr>
            <w:tcW w:w="0" w:type="auto"/>
            <w:vAlign w:val="center"/>
          </w:tcPr>
          <w:p w14:paraId="789B154A">
            <w:pPr>
              <w:keepNext/>
              <w:snapToGrid w:val="0"/>
              <w:spacing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否</w:t>
            </w:r>
          </w:p>
        </w:tc>
        <w:tc>
          <w:tcPr>
            <w:tcW w:w="3191" w:type="dxa"/>
            <w:vAlign w:val="center"/>
          </w:tcPr>
          <w:p w14:paraId="60191636">
            <w:pPr>
              <w:keepNext/>
              <w:snapToGrid w:val="0"/>
              <w:spacing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说明 post-API 启动诊断是否适用；不影响核心 B_valid</w:t>
            </w:r>
          </w:p>
        </w:tc>
      </w:tr>
      <w:tr w14:paraId="58560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50582FFF">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terminal_exec_total_ms</w:t>
            </w:r>
          </w:p>
        </w:tc>
        <w:tc>
          <w:tcPr>
            <w:tcW w:w="0" w:type="auto"/>
            <w:shd w:val="clear" w:color="auto" w:fill="F8FAFC"/>
            <w:tcMar>
              <w:top w:w="70" w:type="dxa"/>
              <w:left w:w="80" w:type="dxa"/>
              <w:bottom w:w="70" w:type="dxa"/>
              <w:right w:w="80" w:type="dxa"/>
            </w:tcMar>
            <w:vAlign w:val="center"/>
          </w:tcPr>
          <w:p w14:paraId="17C06455">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activity 属性</w:t>
            </w:r>
          </w:p>
        </w:tc>
        <w:tc>
          <w:tcPr>
            <w:tcW w:w="0" w:type="auto"/>
            <w:shd w:val="clear" w:color="auto" w:fill="F8FAFC"/>
            <w:tcMar>
              <w:top w:w="70" w:type="dxa"/>
              <w:left w:w="80" w:type="dxa"/>
              <w:bottom w:w="70" w:type="dxa"/>
              <w:right w:w="80" w:type="dxa"/>
            </w:tcMar>
            <w:vAlign w:val="center"/>
          </w:tcPr>
          <w:p w14:paraId="02BE6EDB">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否</w:t>
            </w:r>
          </w:p>
        </w:tc>
        <w:tc>
          <w:tcPr>
            <w:tcW w:w="3191" w:type="dxa"/>
            <w:shd w:val="clear" w:color="auto" w:fill="F8FAFC"/>
            <w:tcMar>
              <w:top w:w="70" w:type="dxa"/>
              <w:left w:w="80" w:type="dxa"/>
              <w:bottom w:w="70" w:type="dxa"/>
              <w:right w:w="80" w:type="dxa"/>
            </w:tcMar>
            <w:vAlign w:val="center"/>
          </w:tcPr>
          <w:p w14:paraId="6798AC98">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terminal 完整执行成本</w:t>
            </w:r>
          </w:p>
        </w:tc>
      </w:tr>
      <w:tr w14:paraId="78D58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23BE7FF1">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terminal_exec_pre_sync_ms</w:t>
            </w:r>
          </w:p>
        </w:tc>
        <w:tc>
          <w:tcPr>
            <w:tcW w:w="0" w:type="auto"/>
            <w:tcMar>
              <w:top w:w="70" w:type="dxa"/>
              <w:left w:w="80" w:type="dxa"/>
              <w:bottom w:w="70" w:type="dxa"/>
              <w:right w:w="80" w:type="dxa"/>
            </w:tcMar>
            <w:vAlign w:val="center"/>
          </w:tcPr>
          <w:p w14:paraId="5C1EF08B">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隐藏部分</w:t>
            </w:r>
          </w:p>
        </w:tc>
        <w:tc>
          <w:tcPr>
            <w:tcW w:w="0" w:type="auto"/>
            <w:tcMar>
              <w:top w:w="70" w:type="dxa"/>
              <w:left w:w="80" w:type="dxa"/>
              <w:bottom w:w="70" w:type="dxa"/>
              <w:right w:w="80" w:type="dxa"/>
            </w:tcMar>
            <w:vAlign w:val="center"/>
          </w:tcPr>
          <w:p w14:paraId="795E3CFE">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否</w:t>
            </w:r>
          </w:p>
        </w:tc>
        <w:tc>
          <w:tcPr>
            <w:tcW w:w="3191" w:type="dxa"/>
            <w:tcMar>
              <w:top w:w="70" w:type="dxa"/>
              <w:left w:w="80" w:type="dxa"/>
              <w:bottom w:w="70" w:type="dxa"/>
              <w:right w:w="80" w:type="dxa"/>
            </w:tcMar>
            <w:vAlign w:val="center"/>
          </w:tcPr>
          <w:p w14:paraId="7C71DB6A">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host 开始等待前已完成的进度</w:t>
            </w:r>
          </w:p>
        </w:tc>
      </w:tr>
      <w:tr w14:paraId="3C64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4B4B3280">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terminal_exec_overlap_sync_ms</w:t>
            </w:r>
          </w:p>
        </w:tc>
        <w:tc>
          <w:tcPr>
            <w:tcW w:w="0" w:type="auto"/>
            <w:shd w:val="clear" w:color="auto" w:fill="F8FAFC"/>
            <w:tcMar>
              <w:top w:w="70" w:type="dxa"/>
              <w:left w:w="80" w:type="dxa"/>
              <w:bottom w:w="70" w:type="dxa"/>
              <w:right w:w="80" w:type="dxa"/>
            </w:tcMar>
            <w:vAlign w:val="center"/>
          </w:tcPr>
          <w:p w14:paraId="32251787">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局部暴露</w:t>
            </w:r>
          </w:p>
        </w:tc>
        <w:tc>
          <w:tcPr>
            <w:tcW w:w="0" w:type="auto"/>
            <w:shd w:val="clear" w:color="auto" w:fill="F8FAFC"/>
            <w:tcMar>
              <w:top w:w="70" w:type="dxa"/>
              <w:left w:w="80" w:type="dxa"/>
              <w:bottom w:w="70" w:type="dxa"/>
              <w:right w:w="80" w:type="dxa"/>
            </w:tcMar>
            <w:vAlign w:val="center"/>
          </w:tcPr>
          <w:p w14:paraId="0EEEB11E">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否；不能跨 sync 加和</w:t>
            </w:r>
          </w:p>
        </w:tc>
        <w:tc>
          <w:tcPr>
            <w:tcW w:w="3191" w:type="dxa"/>
            <w:shd w:val="clear" w:color="auto" w:fill="F8FAFC"/>
            <w:tcMar>
              <w:top w:w="70" w:type="dxa"/>
              <w:left w:w="80" w:type="dxa"/>
              <w:bottom w:w="70" w:type="dxa"/>
              <w:right w:w="80" w:type="dxa"/>
            </w:tcMar>
            <w:vAlign w:val="center"/>
          </w:tcPr>
          <w:p w14:paraId="71526E88">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terminal 对当前 sync 的设备暴露</w:t>
            </w:r>
          </w:p>
        </w:tc>
      </w:tr>
      <w:tr w14:paraId="1EE2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Mar>
              <w:top w:w="70" w:type="dxa"/>
              <w:left w:w="80" w:type="dxa"/>
              <w:bottom w:w="70" w:type="dxa"/>
              <w:right w:w="80" w:type="dxa"/>
            </w:tcMar>
            <w:vAlign w:val="center"/>
          </w:tcPr>
          <w:p w14:paraId="573B3AE9">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sync_return_tail_ms</w:t>
            </w:r>
          </w:p>
        </w:tc>
        <w:tc>
          <w:tcPr>
            <w:tcW w:w="0" w:type="auto"/>
            <w:tcMar>
              <w:top w:w="70" w:type="dxa"/>
              <w:left w:w="80" w:type="dxa"/>
              <w:bottom w:w="70" w:type="dxa"/>
              <w:right w:w="80" w:type="dxa"/>
            </w:tcMar>
            <w:vAlign w:val="center"/>
          </w:tcPr>
          <w:p w14:paraId="61B297BB">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局部 residual</w:t>
            </w:r>
          </w:p>
        </w:tc>
        <w:tc>
          <w:tcPr>
            <w:tcW w:w="0" w:type="auto"/>
            <w:tcMar>
              <w:top w:w="70" w:type="dxa"/>
              <w:left w:w="80" w:type="dxa"/>
              <w:bottom w:w="70" w:type="dxa"/>
              <w:right w:w="80" w:type="dxa"/>
            </w:tcMar>
            <w:vAlign w:val="center"/>
          </w:tcPr>
          <w:p w14:paraId="5610F3D0">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已包含于 A_sync_residual</w:t>
            </w:r>
          </w:p>
        </w:tc>
        <w:tc>
          <w:tcPr>
            <w:tcW w:w="3191" w:type="dxa"/>
            <w:tcMar>
              <w:top w:w="70" w:type="dxa"/>
              <w:left w:w="80" w:type="dxa"/>
              <w:bottom w:w="70" w:type="dxa"/>
              <w:right w:w="80" w:type="dxa"/>
            </w:tcMar>
            <w:vAlign w:val="center"/>
          </w:tcPr>
          <w:p w14:paraId="6BAF6974">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解释返回路径</w:t>
            </w:r>
          </w:p>
        </w:tc>
      </w:tr>
      <w:tr w14:paraId="37697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8FAFC"/>
            <w:tcMar>
              <w:top w:w="70" w:type="dxa"/>
              <w:left w:w="80" w:type="dxa"/>
              <w:bottom w:w="70" w:type="dxa"/>
              <w:right w:w="80" w:type="dxa"/>
            </w:tcMar>
            <w:vAlign w:val="center"/>
          </w:tcPr>
          <w:p w14:paraId="25FD5D94">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terminal_exec_post_sync_ms</w:t>
            </w:r>
          </w:p>
        </w:tc>
        <w:tc>
          <w:tcPr>
            <w:tcW w:w="0" w:type="auto"/>
            <w:shd w:val="clear" w:color="auto" w:fill="F8FAFC"/>
            <w:tcMar>
              <w:top w:w="70" w:type="dxa"/>
              <w:left w:w="80" w:type="dxa"/>
              <w:bottom w:w="70" w:type="dxa"/>
              <w:right w:w="80" w:type="dxa"/>
            </w:tcMar>
            <w:vAlign w:val="center"/>
          </w:tcPr>
          <w:p w14:paraId="50712CA5">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validation</w:t>
            </w:r>
          </w:p>
        </w:tc>
        <w:tc>
          <w:tcPr>
            <w:tcW w:w="0" w:type="auto"/>
            <w:shd w:val="clear" w:color="auto" w:fill="F8FAFC"/>
            <w:tcMar>
              <w:top w:w="70" w:type="dxa"/>
              <w:left w:w="80" w:type="dxa"/>
              <w:bottom w:w="70" w:type="dxa"/>
              <w:right w:w="80" w:type="dxa"/>
            </w:tcMar>
            <w:vAlign w:val="center"/>
          </w:tcPr>
          <w:p w14:paraId="7BA8AD8C">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否</w:t>
            </w:r>
          </w:p>
        </w:tc>
        <w:tc>
          <w:tcPr>
            <w:tcW w:w="3191" w:type="dxa"/>
            <w:shd w:val="clear" w:color="auto" w:fill="F8FAFC"/>
            <w:tcMar>
              <w:top w:w="70" w:type="dxa"/>
              <w:left w:w="80" w:type="dxa"/>
              <w:bottom w:w="70" w:type="dxa"/>
              <w:right w:w="80" w:type="dxa"/>
            </w:tcMar>
            <w:vAlign w:val="center"/>
          </w:tcPr>
          <w:p w14:paraId="7EF75414">
            <w:pPr>
              <w:keepNext/>
              <w:snapToGrid w:val="0"/>
              <w:spacing w:after="0" w:line="240" w:lineRule="auto"/>
              <w:ind w:left="0" w:leftChars="0" w:right="0" w:rightChars="0" w:firstLine="0" w:firstLineChars="0"/>
              <w:jc w:val="left"/>
              <w:rPr>
                <w:rFonts w:ascii="Times New Roman" w:hAnsi="Times New Roman" w:eastAsia="宋体"/>
                <w:sz w:val="20"/>
              </w:rPr>
            </w:pPr>
            <w:r>
              <w:rPr>
                <w:rFonts w:ascii="Times New Roman" w:hAnsi="Times New Roman" w:eastAsia="宋体"/>
                <w:sz w:val="20"/>
              </w:rPr>
              <w:t>非零通常表示时间顺序/语义异常</w:t>
            </w:r>
          </w:p>
        </w:tc>
      </w:tr>
      <w:tr w14:paraId="57438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2CC"/>
            <w:vAlign w:val="center"/>
          </w:tcPr>
          <w:p w14:paraId="470B6C63">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D_margin_ms</w:t>
            </w:r>
          </w:p>
        </w:tc>
        <w:tc>
          <w:tcPr>
            <w:tcW w:w="0" w:type="auto"/>
            <w:shd w:val="clear" w:color="auto" w:fill="FFF2CC"/>
            <w:vAlign w:val="center"/>
          </w:tcPr>
          <w:p w14:paraId="1FB820DD">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repeat/phase 派生差值</w:t>
            </w:r>
          </w:p>
        </w:tc>
        <w:tc>
          <w:tcPr>
            <w:tcW w:w="0" w:type="auto"/>
            <w:shd w:val="clear" w:color="auto" w:fill="FFF2CC"/>
            <w:vAlign w:val="center"/>
          </w:tcPr>
          <w:p w14:paraId="087AA366">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否</w:t>
            </w:r>
          </w:p>
        </w:tc>
        <w:tc>
          <w:tcPr>
            <w:tcW w:w="3191" w:type="dxa"/>
            <w:shd w:val="clear" w:color="auto" w:fill="FFF2CC"/>
            <w:vAlign w:val="center"/>
          </w:tcPr>
          <w:p w14:paraId="743A1804">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A_device_wait−(A_host_path+A_cuda_api)，绝对毫秒差。</w:t>
            </w:r>
          </w:p>
        </w:tc>
      </w:tr>
      <w:tr w14:paraId="4494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2CC"/>
            <w:vAlign w:val="center"/>
          </w:tcPr>
          <w:p w14:paraId="7423D51F">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D_score</w:t>
            </w:r>
          </w:p>
        </w:tc>
        <w:tc>
          <w:tcPr>
            <w:tcW w:w="0" w:type="auto"/>
            <w:shd w:val="clear" w:color="auto" w:fill="FFF2CC"/>
            <w:vAlign w:val="center"/>
          </w:tcPr>
          <w:p w14:paraId="720F74BF">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repeat/phase 归一化主导度</w:t>
            </w:r>
          </w:p>
        </w:tc>
        <w:tc>
          <w:tcPr>
            <w:tcW w:w="0" w:type="auto"/>
            <w:shd w:val="clear" w:color="auto" w:fill="FFF2CC"/>
            <w:vAlign w:val="center"/>
          </w:tcPr>
          <w:p w14:paraId="47C00190">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否</w:t>
            </w:r>
          </w:p>
        </w:tc>
        <w:tc>
          <w:tcPr>
            <w:tcW w:w="3191" w:type="dxa"/>
            <w:shd w:val="clear" w:color="auto" w:fill="FFF2CC"/>
            <w:vAlign w:val="center"/>
          </w:tcPr>
          <w:p w14:paraId="78CA3080">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b w:val="0"/>
                <w:sz w:val="20"/>
              </w:rPr>
              <w:t>D_margin / (A_device_wait + A_host_path + A_cuda_api)，用于离散 W 网格上的条件化趋势、二维热图与跨条件比较。</w:t>
            </w:r>
          </w:p>
        </w:tc>
      </w:tr>
      <w:tr w14:paraId="2FC87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2CC"/>
            <w:vAlign w:val="center"/>
          </w:tcPr>
          <w:p w14:paraId="2F4AD757">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dominance_state</w:t>
            </w:r>
          </w:p>
        </w:tc>
        <w:tc>
          <w:tcPr>
            <w:tcW w:w="0" w:type="auto"/>
            <w:shd w:val="clear" w:color="auto" w:fill="FFF2CC"/>
            <w:vAlign w:val="center"/>
          </w:tcPr>
          <w:p w14:paraId="7F01D5D9">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WMPC 级统计状态</w:t>
            </w:r>
          </w:p>
        </w:tc>
        <w:tc>
          <w:tcPr>
            <w:tcW w:w="0" w:type="auto"/>
            <w:shd w:val="clear" w:color="auto" w:fill="FFF2CC"/>
            <w:vAlign w:val="center"/>
          </w:tcPr>
          <w:p w14:paraId="34D61302">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否</w:t>
            </w:r>
          </w:p>
        </w:tc>
        <w:tc>
          <w:tcPr>
            <w:tcW w:w="3191" w:type="dxa"/>
            <w:shd w:val="clear" w:color="auto" w:fill="FFF2CC"/>
            <w:vAlign w:val="center"/>
          </w:tcPr>
          <w:p w14:paraId="44E51C2B">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依据 repeat-level D_score 的 95% CI 全负、全正或跨 0，分别标记 Host/API 主导、device-wait 主导或 transition/uncertain。</w:t>
            </w:r>
          </w:p>
        </w:tc>
      </w:tr>
      <w:tr w14:paraId="2A366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80" w:type="dxa"/>
            <w:shd w:val="clear" w:color="auto" w:fill="FFF2CC"/>
            <w:vAlign w:val="center"/>
          </w:tcPr>
          <w:p w14:paraId="2656BDD1">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supported_sync_count/duration_coverage</w:t>
            </w:r>
          </w:p>
        </w:tc>
        <w:tc>
          <w:tcPr>
            <w:tcW w:w="1117" w:type="dxa"/>
            <w:shd w:val="clear" w:color="auto" w:fill="FFF2CC"/>
            <w:vAlign w:val="center"/>
          </w:tcPr>
          <w:p w14:paraId="0B398995">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S 层质量覆盖</w:t>
            </w:r>
          </w:p>
        </w:tc>
        <w:tc>
          <w:tcPr>
            <w:tcW w:w="1739" w:type="dxa"/>
            <w:shd w:val="clear" w:color="auto" w:fill="FFF2CC"/>
            <w:vAlign w:val="center"/>
          </w:tcPr>
          <w:p w14:paraId="4299523F">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否</w:t>
            </w:r>
          </w:p>
        </w:tc>
        <w:tc>
          <w:tcPr>
            <w:tcW w:w="3191" w:type="dxa"/>
            <w:shd w:val="clear" w:color="auto" w:fill="FFF2CC"/>
            <w:vAlign w:val="center"/>
          </w:tcPr>
          <w:p w14:paraId="56F8C598">
            <w:pPr>
              <w:keepNext/>
              <w:snapToGrid w:val="0"/>
              <w:spacing w:line="240" w:lineRule="auto"/>
              <w:ind w:left="0" w:leftChars="0" w:right="0" w:rightChars="0" w:firstLine="0" w:firstLineChars="0"/>
              <w:jc w:val="left"/>
              <w:rPr>
                <w:rFonts w:ascii="Times New Roman" w:hAnsi="Times New Roman" w:eastAsia="宋体"/>
                <w:sz w:val="20"/>
                <w:highlight w:val="none"/>
              </w:rPr>
            </w:pPr>
            <w:r>
              <w:rPr>
                <w:rFonts w:ascii="Times New Roman" w:hAnsi="Times New Roman" w:eastAsia="宋体"/>
                <w:sz w:val="20"/>
              </w:rPr>
              <w:t>限定 wait-set/B 结论代表范围；分母为阶段内全部 physical blocking sync。</w:t>
            </w:r>
          </w:p>
        </w:tc>
      </w:tr>
    </w:tbl>
    <w:p w14:paraId="177FA8C6">
      <w:pPr>
        <w:spacing w:after="20"/>
        <w:rPr>
          <w:rFonts w:ascii="Times New Roman" w:hAnsi="Times New Roman" w:eastAsia="宋体"/>
        </w:rPr>
      </w:pPr>
    </w:p>
    <w:p w14:paraId="4D3D0C25">
      <w:pPr>
        <w:pStyle w:val="3"/>
        <w:rPr>
          <w:rFonts w:ascii="Times New Roman" w:hAnsi="Times New Roman" w:eastAsia="宋体"/>
          <w:highlight w:val="none"/>
        </w:rPr>
      </w:pPr>
      <w:r>
        <w:rPr>
          <w:rFonts w:ascii="Times New Roman" w:hAnsi="Times New Roman" w:eastAsia="宋体"/>
          <w:color w:val="000000"/>
        </w:rPr>
        <w:t>附录 B　正确性合同与 Claim—实验映射</w:t>
      </w:r>
    </w:p>
    <w:tbl>
      <w:tblPr>
        <w:tblStyle w:val="34"/>
        <w:tblW w:w="98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3550"/>
        <w:gridCol w:w="2360"/>
        <w:gridCol w:w="2667"/>
      </w:tblGrid>
      <w:tr w14:paraId="2D4D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14ACCCE7">
            <w:pPr>
              <w:snapToGrid w:val="0"/>
              <w:spacing w:line="240" w:lineRule="auto"/>
              <w:ind w:left="0" w:leftChars="0" w:right="0" w:rightChars="0" w:firstLine="0" w:firstLineChars="0"/>
              <w:jc w:val="center"/>
              <w:rPr>
                <w:rFonts w:ascii="Times New Roman" w:hAnsi="Times New Roman" w:eastAsia="宋体"/>
                <w:b/>
                <w:highlight w:val="none"/>
              </w:rPr>
            </w:pPr>
            <w:r>
              <w:rPr>
                <w:rFonts w:ascii="Times New Roman" w:hAnsi="Times New Roman" w:eastAsia="宋体"/>
                <w:b/>
              </w:rPr>
              <w:t>合同层</w:t>
            </w:r>
          </w:p>
        </w:tc>
        <w:tc>
          <w:tcPr>
            <w:tcW w:w="3216" w:type="dxa"/>
            <w:vAlign w:val="center"/>
          </w:tcPr>
          <w:p w14:paraId="08EB702C">
            <w:pPr>
              <w:snapToGrid w:val="0"/>
              <w:spacing w:line="240" w:lineRule="auto"/>
              <w:ind w:left="0" w:leftChars="0" w:right="0" w:rightChars="0" w:firstLine="0" w:firstLineChars="0"/>
              <w:jc w:val="center"/>
              <w:rPr>
                <w:rFonts w:ascii="Times New Roman" w:hAnsi="Times New Roman" w:eastAsia="宋体"/>
                <w:b/>
                <w:highlight w:val="none"/>
              </w:rPr>
            </w:pPr>
            <w:r>
              <w:rPr>
                <w:rFonts w:ascii="Times New Roman" w:hAnsi="Times New Roman" w:eastAsia="宋体"/>
                <w:b/>
              </w:rPr>
              <w:t>必须成立的条件</w:t>
            </w:r>
          </w:p>
        </w:tc>
        <w:tc>
          <w:tcPr>
            <w:tcW w:w="2143" w:type="dxa"/>
            <w:vAlign w:val="center"/>
          </w:tcPr>
          <w:p w14:paraId="07FC1327">
            <w:pPr>
              <w:snapToGrid w:val="0"/>
              <w:spacing w:line="240" w:lineRule="auto"/>
              <w:ind w:left="0" w:leftChars="0" w:right="0" w:rightChars="0" w:firstLine="0" w:firstLineChars="0"/>
              <w:jc w:val="center"/>
              <w:rPr>
                <w:rFonts w:ascii="Times New Roman" w:hAnsi="Times New Roman" w:eastAsia="宋体"/>
                <w:b/>
                <w:highlight w:val="none"/>
              </w:rPr>
            </w:pPr>
            <w:r>
              <w:rPr>
                <w:rFonts w:ascii="Times New Roman" w:hAnsi="Times New Roman" w:eastAsia="宋体"/>
                <w:b/>
              </w:rPr>
              <w:t>验证来源</w:t>
            </w:r>
          </w:p>
        </w:tc>
        <w:tc>
          <w:tcPr>
            <w:tcW w:w="3216" w:type="dxa"/>
            <w:vAlign w:val="center"/>
          </w:tcPr>
          <w:p w14:paraId="0002E4B7">
            <w:pPr>
              <w:snapToGrid w:val="0"/>
              <w:spacing w:line="240" w:lineRule="auto"/>
              <w:ind w:left="0" w:leftChars="0" w:right="0" w:rightChars="0" w:firstLine="0" w:firstLineChars="0"/>
              <w:jc w:val="center"/>
              <w:rPr>
                <w:rFonts w:ascii="Times New Roman" w:hAnsi="Times New Roman" w:eastAsia="宋体"/>
                <w:b/>
                <w:highlight w:val="none"/>
              </w:rPr>
            </w:pPr>
            <w:r>
              <w:rPr>
                <w:rFonts w:ascii="Times New Roman" w:hAnsi="Times New Roman" w:eastAsia="宋体"/>
                <w:b/>
              </w:rPr>
              <w:t>论文可声称内容</w:t>
            </w:r>
          </w:p>
        </w:tc>
      </w:tr>
      <w:tr w14:paraId="1DBCB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1267C00">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分区实现不变量</w:t>
            </w:r>
          </w:p>
        </w:tc>
        <w:tc>
          <w:tcPr>
            <w:tcW w:w="3216" w:type="dxa"/>
            <w:vAlign w:val="center"/>
          </w:tcPr>
          <w:p w14:paraId="233A17FD">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跨 A 重复=0 ns；加入 unattributed 后未覆盖=0 ns；越界/负时长=0</w:t>
            </w:r>
          </w:p>
        </w:tc>
        <w:tc>
          <w:tcPr>
            <w:tcW w:w="2143" w:type="dxa"/>
            <w:vAlign w:val="center"/>
          </w:tcPr>
          <w:p w14:paraId="173582B7">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整数时间戳单元测试与回归测试</w:t>
            </w:r>
          </w:p>
        </w:tc>
        <w:tc>
          <w:tcPr>
            <w:tcW w:w="3216" w:type="dxa"/>
            <w:vAlign w:val="center"/>
          </w:tcPr>
          <w:p w14:paraId="25457BD1">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实现按优先级形成完整互斥分区</w:t>
            </w:r>
          </w:p>
        </w:tc>
      </w:tr>
      <w:tr w14:paraId="7B4C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5B92202">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A_host_path 方案 A</w:t>
            </w:r>
          </w:p>
        </w:tc>
        <w:tc>
          <w:tcPr>
            <w:tcW w:w="3216" w:type="dxa"/>
            <w:vAlign w:val="center"/>
          </w:tcPr>
          <w:p w14:paraId="50237B51">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仅在 ownership/边界成立且不属于其他证据类时接收剩余 Host 路径；不把未知强塞入 Host</w:t>
            </w:r>
          </w:p>
        </w:tc>
        <w:tc>
          <w:tcPr>
            <w:tcW w:w="2143" w:type="dxa"/>
            <w:vAlign w:val="center"/>
          </w:tcPr>
          <w:p w14:paraId="1CAD3C18">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分类规则、synthetic trace 与真实 invalid case</w:t>
            </w:r>
          </w:p>
        </w:tc>
        <w:tc>
          <w:tcPr>
            <w:tcW w:w="3216" w:type="dxa"/>
            <w:vAlign w:val="center"/>
          </w:tcPr>
          <w:p w14:paraId="6B0B2551">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报告剩余型 Host 路径，而非 CPU busy/root cause</w:t>
            </w:r>
          </w:p>
        </w:tc>
      </w:tr>
      <w:tr w14:paraId="5F38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0" w:type="auto"/>
            <w:vAlign w:val="center"/>
          </w:tcPr>
          <w:p w14:paraId="7DAE44B2">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S 同步语义</w:t>
            </w:r>
          </w:p>
        </w:tc>
        <w:tc>
          <w:tcPr>
            <w:tcW w:w="3216" w:type="dxa"/>
            <w:vAlign w:val="center"/>
          </w:tcPr>
          <w:p w14:paraId="47A80B27">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支持微基准 wait-set activity ID、类型与数量 exact match</w:t>
            </w:r>
          </w:p>
        </w:tc>
        <w:tc>
          <w:tcPr>
            <w:tcW w:w="2143" w:type="dxa"/>
            <w:vAlign w:val="center"/>
          </w:tcPr>
          <w:p w14:paraId="7E4C83F7">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CUDA C++ stream/device/event/multi-stream 微基准</w:t>
            </w:r>
          </w:p>
        </w:tc>
        <w:tc>
          <w:tcPr>
            <w:tcW w:w="3216" w:type="dxa"/>
            <w:vAlign w:val="center"/>
          </w:tcPr>
          <w:p w14:paraId="23C46AEC">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在声明支持条件下恢复实际等待集合</w:t>
            </w:r>
          </w:p>
        </w:tc>
      </w:tr>
      <w:tr w14:paraId="2828F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E4F2B4A">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B 局部语义</w:t>
            </w:r>
          </w:p>
        </w:tc>
        <w:tc>
          <w:tcPr>
            <w:tcW w:w="3216" w:type="dxa"/>
            <w:vAlign w:val="center"/>
          </w:tcPr>
          <w:p w14:paraId="07C03F3F">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terminal ID exact match；hidden/overlap/tail 与独立 oracle 在容差内一致</w:t>
            </w:r>
          </w:p>
        </w:tc>
        <w:tc>
          <w:tcPr>
            <w:tcW w:w="2143" w:type="dxa"/>
            <w:vAlign w:val="center"/>
          </w:tcPr>
          <w:p w14:paraId="7F0A47F2">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独立 oracle 读取 Raw 时间戳</w:t>
            </w:r>
          </w:p>
        </w:tc>
        <w:tc>
          <w:tcPr>
            <w:tcW w:w="3216" w:type="dxa"/>
            <w:vAlign w:val="center"/>
          </w:tcPr>
          <w:p w14:paraId="4EB88C67">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解释单次同步的局部末端生命周期</w:t>
            </w:r>
          </w:p>
        </w:tc>
      </w:tr>
      <w:tr w14:paraId="67F9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1C3D90D">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Fail-closed</w:t>
            </w:r>
          </w:p>
        </w:tc>
        <w:tc>
          <w:tcPr>
            <w:tcW w:w="3216" w:type="dxa"/>
            <w:vAlign w:val="center"/>
          </w:tcPr>
          <w:p w14:paraId="6F8A900A">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missing/ambiguous/unsupported/ordering invalid 返回预期 reason，不生成伪结论</w:t>
            </w:r>
          </w:p>
        </w:tc>
        <w:tc>
          <w:tcPr>
            <w:tcW w:w="2143" w:type="dxa"/>
            <w:vAlign w:val="center"/>
          </w:tcPr>
          <w:p w14:paraId="213D2578">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故障注入微基准</w:t>
            </w:r>
          </w:p>
        </w:tc>
        <w:tc>
          <w:tcPr>
            <w:tcW w:w="3216" w:type="dxa"/>
            <w:vAlign w:val="center"/>
          </w:tcPr>
          <w:p w14:paraId="081565CF">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明确方法不回答的条件</w:t>
            </w:r>
          </w:p>
        </w:tc>
      </w:tr>
      <w:tr w14:paraId="61827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3E18E33">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真实 trace 鲁棒性</w:t>
            </w:r>
          </w:p>
        </w:tc>
        <w:tc>
          <w:tcPr>
            <w:tcW w:w="3216" w:type="dxa"/>
            <w:vAlign w:val="center"/>
          </w:tcPr>
          <w:p w14:paraId="613A7998">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dropped、NVTX、bleed、supported count/duration、B_valid、unattributed 全量报告</w:t>
            </w:r>
          </w:p>
        </w:tc>
        <w:tc>
          <w:tcPr>
            <w:tcW w:w="2143" w:type="dxa"/>
            <w:vAlign w:val="center"/>
          </w:tcPr>
          <w:p w14:paraId="201FCF27">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代表 LLM sentinel 与 N1 压力测试</w:t>
            </w:r>
          </w:p>
        </w:tc>
        <w:tc>
          <w:tcPr>
            <w:tcW w:w="3216" w:type="dxa"/>
            <w:vAlign w:val="center"/>
          </w:tcPr>
          <w:p w14:paraId="016EB24A">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限定正式结论的代表范围</w:t>
            </w:r>
          </w:p>
        </w:tc>
      </w:tr>
      <w:tr w14:paraId="69923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46" w:type="dxa"/>
            <w:vAlign w:val="center"/>
          </w:tcPr>
          <w:p w14:paraId="0F414680">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方法必要性</w:t>
            </w:r>
          </w:p>
        </w:tc>
        <w:tc>
          <w:tcPr>
            <w:tcW w:w="3216" w:type="dxa"/>
            <w:vAlign w:val="center"/>
          </w:tcPr>
          <w:p w14:paraId="5C3F2DF3">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传统指标与 A/E2E 至少一类判断不同，且 B 给出可重复机制</w:t>
            </w:r>
          </w:p>
        </w:tc>
        <w:tc>
          <w:tcPr>
            <w:tcW w:w="2143" w:type="dxa"/>
            <w:vAlign w:val="center"/>
          </w:tcPr>
          <w:p w14:paraId="048EA2F7">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N1 同步干预与 baseline 对照</w:t>
            </w:r>
          </w:p>
        </w:tc>
        <w:tc>
          <w:tcPr>
            <w:tcW w:w="3216" w:type="dxa"/>
            <w:vAlign w:val="center"/>
          </w:tcPr>
          <w:p w14:paraId="7650BDE0">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普通事件统计不能替代 ExposedPath</w:t>
            </w:r>
          </w:p>
        </w:tc>
      </w:tr>
    </w:tbl>
    <w:p w14:paraId="282BF4BA">
      <w:pPr>
        <w:pStyle w:val="166"/>
        <w:rPr>
          <w:rFonts w:ascii="Times New Roman" w:hAnsi="Times New Roman" w:eastAsia="宋体"/>
          <w:highlight w:val="none"/>
        </w:rPr>
      </w:pPr>
      <w:r>
        <w:rPr>
          <w:rFonts w:ascii="Times New Roman" w:hAnsi="Times New Roman" w:eastAsia="宋体"/>
          <w:color w:val="000000"/>
        </w:rPr>
        <w:t>程序字段、null/validity 规则、输出 schema 与 legacy migration 由《ExposedPath 实验与分析协议 v2.1（Pre-Pilot 整合修订版）》及 Measurement Contract 维护；本文件保留研究语义和 claim—evidence 边界。</w:t>
      </w:r>
    </w:p>
    <w:p w14:paraId="39A472B0">
      <w:pPr>
        <w:pStyle w:val="3"/>
        <w:rPr>
          <w:rFonts w:ascii="Times New Roman" w:hAnsi="Times New Roman" w:eastAsia="宋体"/>
        </w:rPr>
      </w:pPr>
      <w:r>
        <w:rPr>
          <w:rFonts w:ascii="Times New Roman" w:hAnsi="Times New Roman" w:eastAsia="宋体"/>
          <w:color w:val="000000"/>
        </w:rPr>
        <w:t>附录 C　参考工作与技术依据</w:t>
      </w:r>
    </w:p>
    <w:p w14:paraId="64520FD9">
      <w:pPr>
        <w:ind w:left="312" w:firstLine="0"/>
        <w:rPr>
          <w:rFonts w:ascii="Times New Roman" w:hAnsi="Times New Roman" w:eastAsia="宋体"/>
        </w:rPr>
      </w:pPr>
      <w:r>
        <w:rPr>
          <w:rFonts w:ascii="Times New Roman" w:hAnsi="Times New Roman" w:eastAsia="宋体"/>
          <w:color w:val="000000"/>
          <w:sz w:val="18"/>
        </w:rPr>
        <w:t>[R1] Kwon et al. Efficient Memory Management for Large Language Model Serving with PagedAttention. SOSP 2023.</w:t>
      </w:r>
    </w:p>
    <w:p w14:paraId="60B076D2">
      <w:pPr>
        <w:ind w:left="312" w:firstLine="0"/>
        <w:rPr>
          <w:rFonts w:ascii="Times New Roman" w:hAnsi="Times New Roman" w:eastAsia="宋体"/>
        </w:rPr>
      </w:pPr>
      <w:r>
        <w:rPr>
          <w:rFonts w:ascii="Times New Roman" w:hAnsi="Times New Roman" w:eastAsia="宋体"/>
          <w:color w:val="000000"/>
          <w:sz w:val="18"/>
        </w:rPr>
        <w:t>[R2] Li et al. XSP: Across-Stack Profiling and Analysis of Machine Learning Models on GPUs. 2019.</w:t>
      </w:r>
    </w:p>
    <w:p w14:paraId="7FB63BE5">
      <w:pPr>
        <w:ind w:left="312" w:firstLine="0"/>
        <w:rPr>
          <w:rFonts w:ascii="Times New Roman" w:hAnsi="Times New Roman" w:eastAsia="宋体"/>
        </w:rPr>
      </w:pPr>
      <w:r>
        <w:rPr>
          <w:rFonts w:ascii="Times New Roman" w:hAnsi="Times New Roman" w:eastAsia="宋体"/>
          <w:color w:val="000000"/>
          <w:sz w:val="18"/>
        </w:rPr>
        <w:t>[R3] Gleeson et al. RL-Scope: Cross-Stack Profiling for Deep Reinforcement Learning Workloads. 2021.</w:t>
      </w:r>
    </w:p>
    <w:p w14:paraId="41802E68">
      <w:pPr>
        <w:ind w:left="312" w:firstLine="0"/>
        <w:rPr>
          <w:rFonts w:ascii="Times New Roman" w:hAnsi="Times New Roman" w:eastAsia="宋体"/>
        </w:rPr>
      </w:pPr>
      <w:r>
        <w:rPr>
          <w:rFonts w:ascii="Times New Roman" w:hAnsi="Times New Roman" w:eastAsia="宋体"/>
          <w:color w:val="000000"/>
          <w:sz w:val="18"/>
        </w:rPr>
        <w:t>[R4] Curtsinger and Berger. Coz: Finding Code that Counts with Causal Profiling. SOSP 2015.</w:t>
      </w:r>
    </w:p>
    <w:p w14:paraId="5E8E0748">
      <w:pPr>
        <w:ind w:left="312" w:firstLine="0"/>
        <w:rPr>
          <w:rFonts w:ascii="Times New Roman" w:hAnsi="Times New Roman" w:eastAsia="宋体"/>
        </w:rPr>
      </w:pPr>
      <w:r>
        <w:rPr>
          <w:rFonts w:ascii="Times New Roman" w:hAnsi="Times New Roman" w:eastAsia="宋体"/>
          <w:color w:val="000000"/>
          <w:sz w:val="18"/>
        </w:rPr>
        <w:t>[R5] Zhu et al. Daydream: Accurately Estimating the Efficacy of Optimizations for DNN Training. USENIX ATC 2020.</w:t>
      </w:r>
    </w:p>
    <w:p w14:paraId="601DC8C3">
      <w:pPr>
        <w:ind w:left="312" w:firstLine="0"/>
        <w:rPr>
          <w:rFonts w:ascii="Times New Roman" w:hAnsi="Times New Roman" w:eastAsia="宋体"/>
        </w:rPr>
      </w:pPr>
      <w:r>
        <w:rPr>
          <w:rFonts w:ascii="Times New Roman" w:hAnsi="Times New Roman" w:eastAsia="宋体"/>
          <w:color w:val="000000"/>
          <w:sz w:val="18"/>
        </w:rPr>
        <w:t>[R6] Vellaisamy et al. Characterizing and Optimizing LLM Inference Workloads on CPU-GPU Coupled Architectures. 2025.</w:t>
      </w:r>
    </w:p>
    <w:p w14:paraId="21277E87">
      <w:pPr>
        <w:ind w:left="312" w:firstLine="0"/>
        <w:rPr>
          <w:rFonts w:ascii="Times New Roman" w:hAnsi="Times New Roman" w:eastAsia="宋体"/>
        </w:rPr>
      </w:pPr>
      <w:r>
        <w:rPr>
          <w:rFonts w:ascii="Times New Roman" w:hAnsi="Times New Roman" w:eastAsia="宋体"/>
          <w:color w:val="000000"/>
          <w:sz w:val="18"/>
        </w:rPr>
        <w:t>[R7] Wang et al. lm-Meter: Unveiling Runtime Inference Latency for On-Device Language Models. 2025.</w:t>
      </w:r>
    </w:p>
    <w:p w14:paraId="7BC10A97">
      <w:pPr>
        <w:ind w:left="312" w:firstLine="0"/>
        <w:rPr>
          <w:rFonts w:ascii="Times New Roman" w:hAnsi="Times New Roman" w:eastAsia="宋体"/>
        </w:rPr>
      </w:pPr>
      <w:r>
        <w:rPr>
          <w:rFonts w:ascii="Times New Roman" w:hAnsi="Times New Roman" w:eastAsia="宋体"/>
          <w:color w:val="000000"/>
          <w:sz w:val="18"/>
        </w:rPr>
        <w:t>[R8] Vellaisamy et al. TaxBreak: Unmasking the Hidden Costs of LLM Inference Through Overhead Decomposition. 2026.</w:t>
      </w:r>
    </w:p>
    <w:p w14:paraId="15A2A4F9">
      <w:pPr>
        <w:ind w:left="312" w:firstLine="0"/>
        <w:rPr>
          <w:rFonts w:ascii="Times New Roman" w:hAnsi="Times New Roman" w:eastAsia="宋体"/>
        </w:rPr>
      </w:pPr>
      <w:r>
        <w:rPr>
          <w:rFonts w:ascii="Times New Roman" w:hAnsi="Times New Roman" w:eastAsia="宋体"/>
          <w:color w:val="000000"/>
          <w:sz w:val="18"/>
        </w:rPr>
        <w:t>[R9] NVIDIA CUDA C++ Programming Guide and CUDA Runtime API: streams, synchronization and asynchronous execution.</w:t>
      </w:r>
    </w:p>
    <w:p w14:paraId="5B07A7F3">
      <w:pPr>
        <w:ind w:left="312" w:firstLine="0"/>
        <w:rPr>
          <w:rFonts w:ascii="Times New Roman" w:hAnsi="Times New Roman" w:eastAsia="宋体"/>
        </w:rPr>
      </w:pPr>
      <w:r>
        <w:rPr>
          <w:rFonts w:ascii="Times New Roman" w:hAnsi="Times New Roman" w:eastAsia="宋体"/>
          <w:color w:val="000000"/>
          <w:sz w:val="18"/>
        </w:rPr>
        <w:t>[R10] NVIDIA Nsight Systems User Guide, SQLite Export Schema and CUPTI Activity API.</w:t>
      </w:r>
    </w:p>
    <w:p w14:paraId="20916C33">
      <w:pPr>
        <w:ind w:left="312" w:firstLine="0"/>
        <w:rPr>
          <w:rFonts w:ascii="Times New Roman" w:hAnsi="Times New Roman" w:eastAsia="宋体"/>
        </w:rPr>
      </w:pPr>
      <w:r>
        <w:rPr>
          <w:rFonts w:ascii="Times New Roman" w:hAnsi="Times New Roman" w:eastAsia="宋体"/>
          <w:color w:val="000000"/>
          <w:sz w:val="18"/>
        </w:rPr>
        <w:t>[D1] ExposedPath exposedpath-v2 RTX 4090 pilot matrix, 16 workloads.</w:t>
      </w:r>
    </w:p>
    <w:p w14:paraId="3BCEAFCC">
      <w:pPr>
        <w:ind w:left="312" w:firstLine="0"/>
        <w:rPr>
          <w:rFonts w:ascii="Times New Roman" w:hAnsi="Times New Roman" w:eastAsia="宋体"/>
        </w:rPr>
      </w:pPr>
      <w:r>
        <w:rPr>
          <w:rFonts w:ascii="Times New Roman" w:hAnsi="Times New Roman" w:eastAsia="宋体"/>
          <w:color w:val="000000"/>
          <w:sz w:val="18"/>
        </w:rPr>
        <w:t>[D2] ExposedPath exposedpath-v2 RTX 6000 Ada pilot matrix, 16 workloads.</w:t>
      </w:r>
    </w:p>
    <w:p w14:paraId="7B866842">
      <w:pPr>
        <w:rPr>
          <w:rFonts w:ascii="Times New Roman" w:hAnsi="Times New Roman" w:eastAsia="宋体"/>
          <w:highlight w:val="none"/>
        </w:rPr>
      </w:pPr>
      <w:r>
        <w:rPr>
          <w:rFonts w:ascii="Times New Roman" w:hAnsi="Times New Roman" w:eastAsia="宋体"/>
          <w:b w:val="0"/>
          <w:color w:val="000000"/>
        </w:rPr>
        <w:t>补充技术依据：PyTorch 官方将 eager 描述为算子在遇到时即时执行的命令式模式；torch.compile 用于捕获并编译执行图，其 reduce-overhead 路径可使用 CUDA Graph 降低 Python/launch overhead。</w:t>
      </w:r>
    </w:p>
    <w:p w14:paraId="320C425E">
      <w:pPr>
        <w:rPr>
          <w:rFonts w:ascii="Times New Roman" w:hAnsi="Times New Roman" w:eastAsia="宋体"/>
          <w:highlight w:val="none"/>
        </w:rPr>
      </w:pPr>
      <w:r>
        <w:rPr>
          <w:rFonts w:ascii="Times New Roman" w:hAnsi="Times New Roman" w:eastAsia="宋体"/>
          <w:b w:val="0"/>
          <w:color w:val="000000"/>
        </w:rPr>
        <w:t>补充技术依据：vLLM 官方同时提供在线服务与离线推理，但其核心能力包括 PagedAttention、continuous batching、prefix/chunked prefill、请求调度和 CUDA/HIP Graph。因此，在单 invocation、无并发协议中，应把 vLLM 视为可选完整栈端点，而不是默认基线。</w:t>
      </w:r>
    </w:p>
    <w:p w14:paraId="365D3D8A">
      <w:pPr>
        <w:rPr>
          <w:rFonts w:ascii="Times New Roman" w:hAnsi="Times New Roman" w:eastAsia="宋体"/>
          <w:highlight w:val="none"/>
        </w:rPr>
      </w:pPr>
      <w:r>
        <w:rPr>
          <w:rFonts w:ascii="Times New Roman" w:hAnsi="Times New Roman" w:eastAsia="宋体"/>
          <w:b w:val="0"/>
          <w:color w:val="000000"/>
        </w:rPr>
        <w:t>正式论文引用时应记录所用 PyTorch、Transformers、CUDA、Nsight 与可选 vLLM 的精确版本和访问日期；软件行为以正式实验冻结版本为准。</w:t>
      </w:r>
    </w:p>
    <w:p w14:paraId="2842212F">
      <w:pPr>
        <w:pStyle w:val="4"/>
        <w:rPr>
          <w:rFonts w:ascii="Times New Roman" w:hAnsi="Times New Roman" w:eastAsia="宋体"/>
          <w:highlight w:val="none"/>
        </w:rPr>
      </w:pPr>
      <w:r>
        <w:rPr>
          <w:rFonts w:ascii="Times New Roman" w:hAnsi="Times New Roman" w:eastAsia="宋体"/>
          <w:color w:val="000000"/>
        </w:rPr>
        <w:t>附录 C.1　新增文献的用途映射</w:t>
      </w:r>
    </w:p>
    <w:p w14:paraId="54DA8190">
      <w:pPr>
        <w:rPr>
          <w:rFonts w:ascii="Times New Roman" w:hAnsi="Times New Roman" w:eastAsia="宋体"/>
          <w:highlight w:val="none"/>
        </w:rPr>
      </w:pPr>
      <w:r>
        <w:rPr>
          <w:rFonts w:ascii="Times New Roman" w:hAnsi="Times New Roman" w:eastAsia="宋体"/>
          <w:color w:val="000000"/>
        </w:rPr>
        <w:t>[R11] LLMCompass: Enabling Efficient Hardware Design for Large Language Model Inference.</w:t>
      </w:r>
    </w:p>
    <w:p w14:paraId="0871EFA7">
      <w:pPr>
        <w:rPr>
          <w:rFonts w:ascii="Times New Roman" w:hAnsi="Times New Roman" w:eastAsia="宋体"/>
          <w:highlight w:val="none"/>
        </w:rPr>
      </w:pPr>
      <w:r>
        <w:rPr>
          <w:rFonts w:ascii="Times New Roman" w:hAnsi="Times New Roman" w:eastAsia="宋体"/>
          <w:color w:val="000000"/>
        </w:rPr>
        <w:t>[R12] AMALI: An Analytical Model for Accurately Modeling LLM Inference on Modern GPUs.</w:t>
      </w:r>
    </w:p>
    <w:p w14:paraId="55E40292">
      <w:pPr>
        <w:rPr>
          <w:rFonts w:ascii="Times New Roman" w:hAnsi="Times New Roman" w:eastAsia="宋体"/>
          <w:highlight w:val="none"/>
        </w:rPr>
      </w:pPr>
      <w:r>
        <w:rPr>
          <w:rFonts w:ascii="Times New Roman" w:hAnsi="Times New Roman" w:eastAsia="宋体"/>
          <w:color w:val="000000"/>
        </w:rPr>
        <w:t>[R13] A Systematic Characterization of LLM Inference on GPUs.</w:t>
      </w:r>
    </w:p>
    <w:p w14:paraId="4DBCD232">
      <w:pPr>
        <w:rPr>
          <w:rFonts w:ascii="Times New Roman" w:hAnsi="Times New Roman" w:eastAsia="宋体"/>
          <w:highlight w:val="none"/>
        </w:rPr>
      </w:pPr>
      <w:r>
        <w:rPr>
          <w:rFonts w:ascii="Times New Roman" w:hAnsi="Times New Roman" w:eastAsia="宋体"/>
          <w:color w:val="000000"/>
        </w:rPr>
        <w:t>[R14] Mind the Memory Gap: Unveiling GPU Bottlenecks in Large-Batch LLM Inference.</w:t>
      </w:r>
    </w:p>
    <w:p w14:paraId="1AB6B435">
      <w:pPr>
        <w:rPr>
          <w:rFonts w:ascii="Times New Roman" w:hAnsi="Times New Roman" w:eastAsia="宋体"/>
          <w:highlight w:val="none"/>
        </w:rPr>
      </w:pPr>
      <w:r>
        <w:rPr>
          <w:rFonts w:ascii="Times New Roman" w:hAnsi="Times New Roman" w:eastAsia="宋体"/>
          <w:color w:val="000000"/>
        </w:rPr>
        <w:t>[R15] Characterizing and Optimizing LLM Inference Workloads on CPU-GPU Coupled Architectures（TKLQT）.</w:t>
      </w:r>
    </w:p>
    <w:p w14:paraId="2C0690DA">
      <w:pPr>
        <w:rPr>
          <w:rFonts w:ascii="Times New Roman" w:hAnsi="Times New Roman" w:eastAsia="宋体"/>
          <w:highlight w:val="none"/>
        </w:rPr>
      </w:pPr>
      <w:r>
        <w:rPr>
          <w:rFonts w:ascii="Times New Roman" w:hAnsi="Times New Roman" w:eastAsia="宋体"/>
          <w:color w:val="000000"/>
        </w:rPr>
        <w:t>[R16] POD-Attention: Unlocking Full Prefill-Decode Overlap for Faster LLM Inference.</w:t>
      </w:r>
    </w:p>
    <w:p w14:paraId="0B424A9F">
      <w:pPr>
        <w:rPr>
          <w:rFonts w:ascii="Times New Roman" w:hAnsi="Times New Roman" w:eastAsia="宋体"/>
          <w:highlight w:val="none"/>
        </w:rPr>
      </w:pPr>
      <w:r>
        <w:rPr>
          <w:rFonts w:ascii="Times New Roman" w:hAnsi="Times New Roman" w:eastAsia="宋体"/>
          <w:color w:val="000000"/>
        </w:rPr>
        <w:t>[R17] APEX: Asynchronous Parallel CPU-GPU Execution for Online LLM Inference.</w:t>
      </w:r>
    </w:p>
    <w:p w14:paraId="208DD07E">
      <w:pPr>
        <w:rPr>
          <w:rFonts w:ascii="Times New Roman" w:hAnsi="Times New Roman" w:eastAsia="宋体"/>
          <w:highlight w:val="none"/>
        </w:rPr>
      </w:pPr>
      <w:r>
        <w:rPr>
          <w:rFonts w:ascii="Times New Roman" w:hAnsi="Times New Roman" w:eastAsia="宋体"/>
          <w:color w:val="000000"/>
        </w:rPr>
        <w:t>[R18] CPU-GPU Workload Distribution during Throughput-Oriented LLM Inference on a Single GPU.</w:t>
      </w:r>
    </w:p>
    <w:p w14:paraId="765F8011">
      <w:pPr>
        <w:rPr>
          <w:rFonts w:ascii="Times New Roman" w:hAnsi="Times New Roman" w:eastAsia="宋体"/>
          <w:highlight w:val="none"/>
        </w:rPr>
      </w:pPr>
      <w:r>
        <w:rPr>
          <w:rFonts w:ascii="Times New Roman" w:hAnsi="Times New Roman" w:eastAsia="宋体"/>
          <w:color w:val="000000"/>
        </w:rPr>
        <w:t>[R19] SPIN: Accelerating Large Language Model Inference with Heterogeneous Speculative Models.</w:t>
      </w:r>
    </w:p>
    <w:p w14:paraId="66E884BB">
      <w:pPr>
        <w:rPr>
          <w:rFonts w:ascii="Times New Roman" w:hAnsi="Times New Roman" w:eastAsia="宋体"/>
          <w:highlight w:val="none"/>
        </w:rPr>
      </w:pPr>
      <w:r>
        <w:rPr>
          <w:rFonts w:ascii="Times New Roman" w:hAnsi="Times New Roman" w:eastAsia="宋体"/>
          <w:color w:val="000000"/>
        </w:rPr>
        <w:t>[R20] C2F、TensAllo、SCX 与 Evolution of Aegis：分别用于端云/异构部署、隐私边界与可审计诊断设计的讨论，不作为当前核心 baseline。</w:t>
      </w:r>
    </w:p>
    <w:tbl>
      <w:tblPr>
        <w:tblStyle w:val="34"/>
        <w:tblW w:w="8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3026"/>
        <w:gridCol w:w="1459"/>
        <w:gridCol w:w="1942"/>
      </w:tblGrid>
      <w:tr w14:paraId="1E93E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24" w:type="dxa"/>
            <w:vAlign w:val="center"/>
          </w:tcPr>
          <w:p w14:paraId="427AA144">
            <w:pPr>
              <w:snapToGrid w:val="0"/>
              <w:spacing w:line="240" w:lineRule="auto"/>
              <w:ind w:left="0" w:leftChars="0" w:right="0" w:rightChars="0" w:firstLine="0" w:firstLineChars="0"/>
              <w:jc w:val="center"/>
              <w:rPr>
                <w:rFonts w:ascii="Times New Roman" w:hAnsi="Times New Roman" w:eastAsia="宋体"/>
                <w:b/>
                <w:highlight w:val="none"/>
              </w:rPr>
            </w:pPr>
            <w:r>
              <w:rPr>
                <w:rFonts w:ascii="Times New Roman" w:hAnsi="Times New Roman" w:eastAsia="宋体"/>
                <w:b/>
              </w:rPr>
              <w:t>代表工作</w:t>
            </w:r>
          </w:p>
        </w:tc>
        <w:tc>
          <w:tcPr>
            <w:tcW w:w="0" w:type="auto"/>
            <w:vAlign w:val="center"/>
          </w:tcPr>
          <w:p w14:paraId="03ECBC63">
            <w:pPr>
              <w:snapToGrid w:val="0"/>
              <w:spacing w:line="240" w:lineRule="auto"/>
              <w:ind w:left="0" w:leftChars="0" w:right="0" w:rightChars="0" w:firstLine="0" w:firstLineChars="0"/>
              <w:jc w:val="center"/>
              <w:rPr>
                <w:rFonts w:ascii="Times New Roman" w:hAnsi="Times New Roman" w:eastAsia="宋体"/>
                <w:b/>
                <w:highlight w:val="none"/>
              </w:rPr>
            </w:pPr>
            <w:r>
              <w:rPr>
                <w:rFonts w:ascii="Times New Roman" w:hAnsi="Times New Roman" w:eastAsia="宋体"/>
                <w:b/>
              </w:rPr>
              <w:t>本文用途</w:t>
            </w:r>
          </w:p>
        </w:tc>
        <w:tc>
          <w:tcPr>
            <w:tcW w:w="0" w:type="auto"/>
            <w:vAlign w:val="center"/>
          </w:tcPr>
          <w:p w14:paraId="45F2D350">
            <w:pPr>
              <w:snapToGrid w:val="0"/>
              <w:spacing w:line="240" w:lineRule="auto"/>
              <w:ind w:left="0" w:leftChars="0" w:right="0" w:rightChars="0" w:firstLine="0" w:firstLineChars="0"/>
              <w:jc w:val="center"/>
              <w:rPr>
                <w:rFonts w:ascii="Times New Roman" w:hAnsi="Times New Roman" w:eastAsia="宋体"/>
                <w:b/>
                <w:highlight w:val="none"/>
              </w:rPr>
            </w:pPr>
            <w:r>
              <w:rPr>
                <w:rFonts w:ascii="Times New Roman" w:hAnsi="Times New Roman" w:eastAsia="宋体"/>
                <w:b/>
              </w:rPr>
              <w:t>对应位置</w:t>
            </w:r>
          </w:p>
        </w:tc>
        <w:tc>
          <w:tcPr>
            <w:tcW w:w="1942" w:type="dxa"/>
            <w:vAlign w:val="center"/>
          </w:tcPr>
          <w:p w14:paraId="0A846FF4">
            <w:pPr>
              <w:snapToGrid w:val="0"/>
              <w:spacing w:line="240" w:lineRule="auto"/>
              <w:ind w:left="0" w:leftChars="0" w:right="0" w:rightChars="0" w:firstLine="0" w:firstLineChars="0"/>
              <w:jc w:val="center"/>
              <w:rPr>
                <w:rFonts w:ascii="Times New Roman" w:hAnsi="Times New Roman" w:eastAsia="宋体"/>
                <w:b/>
                <w:highlight w:val="none"/>
              </w:rPr>
            </w:pPr>
            <w:r>
              <w:rPr>
                <w:rFonts w:ascii="Times New Roman" w:hAnsi="Times New Roman" w:eastAsia="宋体"/>
                <w:b/>
              </w:rPr>
              <w:t>当前是否复现实验</w:t>
            </w:r>
          </w:p>
        </w:tc>
      </w:tr>
      <w:tr w14:paraId="5575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24" w:type="dxa"/>
            <w:vAlign w:val="center"/>
          </w:tcPr>
          <w:p w14:paraId="6C3180E1">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LLMCompass / AMALI / GPU characterization</w:t>
            </w:r>
          </w:p>
        </w:tc>
        <w:tc>
          <w:tcPr>
            <w:tcW w:w="0" w:type="auto"/>
            <w:vAlign w:val="center"/>
          </w:tcPr>
          <w:p w14:paraId="236F8CEF">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界定设备执行建模与请求墙钟暴露的区别；提供代表点机制指标</w:t>
            </w:r>
          </w:p>
        </w:tc>
        <w:tc>
          <w:tcPr>
            <w:tcW w:w="0" w:type="auto"/>
            <w:vAlign w:val="center"/>
          </w:tcPr>
          <w:p w14:paraId="1C0FAC5C">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1.1、1.2、2.4.0、G1 audit</w:t>
            </w:r>
          </w:p>
        </w:tc>
        <w:tc>
          <w:tcPr>
            <w:tcW w:w="1942" w:type="dxa"/>
            <w:vAlign w:val="center"/>
          </w:tcPr>
          <w:p w14:paraId="59EC97EE">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否；只做少量辅助指标</w:t>
            </w:r>
          </w:p>
        </w:tc>
      </w:tr>
      <w:tr w14:paraId="4AF48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24" w:type="dxa"/>
            <w:vAlign w:val="center"/>
          </w:tcPr>
          <w:p w14:paraId="1D635E64">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SKIP/TKLQT / TaxBreak</w:t>
            </w:r>
          </w:p>
        </w:tc>
        <w:tc>
          <w:tcPr>
            <w:tcW w:w="0" w:type="auto"/>
            <w:vAlign w:val="center"/>
          </w:tcPr>
          <w:p w14:paraId="020E66D6">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核心近邻与传统指标 baseline</w:t>
            </w:r>
          </w:p>
        </w:tc>
        <w:tc>
          <w:tcPr>
            <w:tcW w:w="0" w:type="auto"/>
            <w:vAlign w:val="center"/>
          </w:tcPr>
          <w:p w14:paraId="20F57E7E">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1.2、Q0、G2</w:t>
            </w:r>
          </w:p>
        </w:tc>
        <w:tc>
          <w:tcPr>
            <w:tcW w:w="1942" w:type="dxa"/>
            <w:vAlign w:val="center"/>
          </w:tcPr>
          <w:p w14:paraId="011FCAD9">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部分：复现可公平计算的指标</w:t>
            </w:r>
          </w:p>
        </w:tc>
      </w:tr>
      <w:tr w14:paraId="3FC4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24" w:type="dxa"/>
            <w:vAlign w:val="center"/>
          </w:tcPr>
          <w:p w14:paraId="5488B8F8">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POD-Attention / APEX / SPIN / offloading</w:t>
            </w:r>
          </w:p>
        </w:tc>
        <w:tc>
          <w:tcPr>
            <w:tcW w:w="0" w:type="auto"/>
            <w:vAlign w:val="center"/>
          </w:tcPr>
          <w:p w14:paraId="1259456A">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丰富优化响应机制分类与未来适用性</w:t>
            </w:r>
          </w:p>
        </w:tc>
        <w:tc>
          <w:tcPr>
            <w:tcW w:w="0" w:type="auto"/>
            <w:vAlign w:val="center"/>
          </w:tcPr>
          <w:p w14:paraId="66340F80">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G2、讨论与扩展</w:t>
            </w:r>
          </w:p>
        </w:tc>
        <w:tc>
          <w:tcPr>
            <w:tcW w:w="1942" w:type="dxa"/>
            <w:vAlign w:val="center"/>
          </w:tcPr>
          <w:p w14:paraId="68686628">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否</w:t>
            </w:r>
          </w:p>
        </w:tc>
      </w:tr>
      <w:tr w14:paraId="6322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24" w:type="dxa"/>
            <w:vAlign w:val="center"/>
          </w:tcPr>
          <w:p w14:paraId="46C08D06">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C2F / TensAllo / SCX / Aegis</w:t>
            </w:r>
          </w:p>
        </w:tc>
        <w:tc>
          <w:tcPr>
            <w:tcW w:w="3026" w:type="dxa"/>
            <w:vAlign w:val="center"/>
          </w:tcPr>
          <w:p w14:paraId="2C4EF01E">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应用意义、边界、coverage、fail-closed 与证据链设计</w:t>
            </w:r>
          </w:p>
        </w:tc>
        <w:tc>
          <w:tcPr>
            <w:tcW w:w="1459" w:type="dxa"/>
            <w:vAlign w:val="center"/>
          </w:tcPr>
          <w:p w14:paraId="63C63A73">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背景、风险、扩展</w:t>
            </w:r>
          </w:p>
        </w:tc>
        <w:tc>
          <w:tcPr>
            <w:tcW w:w="1942" w:type="dxa"/>
            <w:vAlign w:val="center"/>
          </w:tcPr>
          <w:p w14:paraId="1E443EDE">
            <w:pPr>
              <w:snapToGrid w:val="0"/>
              <w:spacing w:line="240" w:lineRule="auto"/>
              <w:ind w:left="0" w:leftChars="0" w:right="0" w:rightChars="0" w:firstLine="0" w:firstLineChars="0"/>
              <w:jc w:val="left"/>
              <w:rPr>
                <w:rFonts w:ascii="Times New Roman" w:hAnsi="Times New Roman" w:eastAsia="宋体"/>
                <w:highlight w:val="none"/>
              </w:rPr>
            </w:pPr>
            <w:r>
              <w:rPr>
                <w:rFonts w:ascii="Times New Roman" w:hAnsi="Times New Roman" w:eastAsia="宋体"/>
              </w:rPr>
              <w:t>否</w:t>
            </w:r>
          </w:p>
        </w:tc>
      </w:tr>
    </w:tbl>
    <w:p w14:paraId="4477691E">
      <w:pPr>
        <w:pStyle w:val="3"/>
        <w:rPr>
          <w:rFonts w:ascii="Times New Roman" w:hAnsi="Times New Roman" w:eastAsia="宋体"/>
          <w:highlight w:val="none"/>
        </w:rPr>
      </w:pPr>
      <w:r>
        <w:rPr>
          <w:rFonts w:ascii="Times New Roman" w:hAnsi="Times New Roman" w:eastAsia="宋体"/>
          <w:color w:val="000000"/>
        </w:rPr>
        <w:t>附录 D　历史 Prototype 结果与方向性线索（不得作为当前方法证据）</w:t>
      </w:r>
    </w:p>
    <w:p w14:paraId="1904B878">
      <w:pPr>
        <w:pStyle w:val="168"/>
        <w:rPr>
          <w:rFonts w:ascii="Times New Roman" w:hAnsi="Times New Roman" w:eastAsia="宋体"/>
          <w:highlight w:val="none"/>
        </w:rPr>
      </w:pPr>
      <w:r>
        <w:rPr>
          <w:rFonts w:ascii="Times New Roman" w:hAnsi="Times New Roman" w:eastAsia="宋体"/>
          <w:color w:val="000000"/>
        </w:rPr>
        <w:t>本附录只保存冻结前历史 prototype 的双 GPU 输出，用于追溯旧实现和生成回归问题。由于 analyzer、W(s)、terminal、validity、manifest、repeat 和运行合同不符合或无法证明符合 v1.4.1，这些数据不得作为 Q0、Pilot 或 Formal 证据，也不得支持当前方法正确性。</w:t>
      </w:r>
    </w:p>
    <w:p w14:paraId="027620A6">
      <w:pPr>
        <w:pStyle w:val="4"/>
        <w:rPr>
          <w:rFonts w:ascii="Times New Roman" w:hAnsi="Times New Roman" w:eastAsia="宋体"/>
          <w:highlight w:val="none"/>
        </w:rPr>
      </w:pPr>
      <w:r>
        <w:rPr>
          <w:rFonts w:ascii="Times New Roman" w:hAnsi="Times New Roman" w:eastAsia="宋体"/>
          <w:color w:val="000000"/>
        </w:rPr>
        <w:t>D.1 数据定位</w:t>
      </w:r>
    </w:p>
    <w:p w14:paraId="56F44B3C">
      <w:pPr>
        <w:rPr>
          <w:rFonts w:ascii="Times New Roman" w:hAnsi="Times New Roman" w:eastAsia="宋体"/>
        </w:rPr>
      </w:pPr>
      <w:r>
        <w:rPr>
          <w:rFonts w:ascii="Times New Roman" w:hAnsi="Times New Roman" w:eastAsia="宋体"/>
          <w:color w:val="000000"/>
        </w:rPr>
        <w:t>历史数据来自同一服务器的 RTX 4090 与 RTX 6000 Ada，各 16 个 Qwen2.5-1.5B workload，prompt={128,256,512,1024}、batch={1,2,4,8}、output=16、每组 5 repeats。它们仅用于 Prototype/Engineering 回归和识别旧实现问题。</w:t>
      </w:r>
    </w:p>
    <w:p w14:paraId="39D57051">
      <w:pPr>
        <w:pStyle w:val="168"/>
        <w:shd w:val="clear" w:fill="FFF3D6"/>
        <w:rPr>
          <w:rFonts w:ascii="Times New Roman" w:hAnsi="Times New Roman" w:eastAsia="宋体"/>
        </w:rPr>
      </w:pPr>
      <w:r>
        <w:rPr>
          <w:rFonts w:ascii="Times New Roman" w:hAnsi="Times New Roman" w:eastAsia="宋体"/>
          <w:b w:val="0"/>
          <w:color w:val="000000"/>
        </w:rPr>
        <w:t>这些历史输出不能支持正式显著性、平台排名、activity→exposure 规律、当前 A/B 正确性或跨主机因果结论。</w:t>
      </w:r>
    </w:p>
    <w:p w14:paraId="26D3BC26">
      <w:pPr>
        <w:pStyle w:val="4"/>
        <w:rPr>
          <w:rFonts w:ascii="Times New Roman" w:hAnsi="Times New Roman" w:eastAsia="宋体"/>
          <w:highlight w:val="none"/>
        </w:rPr>
      </w:pPr>
      <w:r>
        <w:rPr>
          <w:rFonts w:ascii="Times New Roman" w:hAnsi="Times New Roman" w:eastAsia="宋体"/>
          <w:color w:val="000000"/>
        </w:rPr>
        <w:t>D.2 方法正确性结果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895"/>
        <w:gridCol w:w="3164"/>
      </w:tblGrid>
      <w:tr w14:paraId="221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30" w:type="dxa"/>
            <w:shd w:val="clear" w:color="auto" w:fill="DCE6F1"/>
            <w:tcMar>
              <w:top w:w="70" w:type="dxa"/>
              <w:left w:w="80" w:type="dxa"/>
              <w:bottom w:w="70" w:type="dxa"/>
              <w:right w:w="80" w:type="dxa"/>
            </w:tcMar>
            <w:vAlign w:val="center"/>
          </w:tcPr>
          <w:p>
            <w:r>
              <w:rPr/>
              <w:t>历史质量项</w:t>
            </w:r>
          </w:p>
        </w:tc>
        <w:tc>
          <w:tcPr>
            <w:tcW w:w="3230" w:type="dxa"/>
            <w:shd w:val="clear" w:color="auto" w:fill="DCE6F1"/>
            <w:tcMar>
              <w:top w:w="70" w:type="dxa"/>
              <w:left w:w="80" w:type="dxa"/>
              <w:bottom w:w="70" w:type="dxa"/>
              <w:right w:w="80" w:type="dxa"/>
            </w:tcMar>
            <w:vAlign w:val="center"/>
          </w:tcPr>
          <w:p>
            <w:r>
              <w:rPr/>
              <w:t>历史记录</w:t>
            </w:r>
          </w:p>
        </w:tc>
        <w:tc>
          <w:tcPr>
            <w:tcW w:w="3230" w:type="dxa"/>
            <w:shd w:val="clear" w:color="auto" w:fill="DCE6F1"/>
            <w:tcMar>
              <w:top w:w="70" w:type="dxa"/>
              <w:left w:w="80" w:type="dxa"/>
              <w:bottom w:w="70" w:type="dxa"/>
              <w:right w:w="80" w:type="dxa"/>
            </w:tcMar>
            <w:vAlign w:val="center"/>
          </w:tcPr>
          <w:p>
            <w:r>
              <w:rPr/>
              <w:t>v1.4.1 下的资格判断</w:t>
            </w:r>
          </w:p>
        </w:tc>
      </w:tr>
      <w:tr w14:paraId="59EF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Mar>
              <w:top w:w="70" w:type="dxa"/>
              <w:left w:w="80" w:type="dxa"/>
              <w:bottom w:w="70" w:type="dxa"/>
              <w:right w:w="80" w:type="dxa"/>
            </w:tcMar>
            <w:vAlign w:val="center"/>
          </w:tcPr>
          <w:p>
            <w:r>
              <w:rPr/>
              <w:t>Raw/S/A/B version</w:t>
            </w:r>
          </w:p>
        </w:tc>
        <w:tc>
          <w:tcPr>
            <w:tcW w:w="3061" w:type="dxa"/>
            <w:tcMar>
              <w:top w:w="70" w:type="dxa"/>
              <w:left w:w="80" w:type="dxa"/>
              <w:bottom w:w="70" w:type="dxa"/>
              <w:right w:w="80" w:type="dxa"/>
            </w:tcMar>
            <w:vAlign w:val="center"/>
          </w:tcPr>
          <w:p>
            <w:r>
              <w:rPr/>
              <w:t>exposedpath-v2</w:t>
            </w:r>
          </w:p>
        </w:tc>
        <w:tc>
          <w:tcPr>
            <w:tcW w:w="4535" w:type="dxa"/>
            <w:tcMar>
              <w:top w:w="70" w:type="dxa"/>
              <w:left w:w="80" w:type="dxa"/>
              <w:bottom w:w="70" w:type="dxa"/>
              <w:right w:w="80" w:type="dxa"/>
            </w:tcMar>
            <w:vAlign w:val="center"/>
          </w:tcPr>
          <w:p>
            <w:r>
              <w:rPr/>
              <w:t>旧 prototype 身份；不等价于当前方法</w:t>
            </w:r>
          </w:p>
        </w:tc>
      </w:tr>
      <w:tr w14:paraId="21141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shd w:val="clear" w:color="auto" w:fill="F8FAFC"/>
            <w:tcMar>
              <w:top w:w="70" w:type="dxa"/>
              <w:left w:w="80" w:type="dxa"/>
              <w:bottom w:w="70" w:type="dxa"/>
              <w:right w:w="80" w:type="dxa"/>
            </w:tcMar>
            <w:vAlign w:val="center"/>
          </w:tcPr>
          <w:p>
            <w:r>
              <w:rPr/>
              <w:t>A conservation</w:t>
            </w:r>
          </w:p>
        </w:tc>
        <w:tc>
          <w:tcPr>
            <w:tcW w:w="3061" w:type="dxa"/>
            <w:shd w:val="clear" w:color="auto" w:fill="F8FAFC"/>
            <w:tcMar>
              <w:top w:w="70" w:type="dxa"/>
              <w:left w:w="80" w:type="dxa"/>
              <w:bottom w:w="70" w:type="dxa"/>
              <w:right w:w="80" w:type="dxa"/>
            </w:tcMar>
            <w:vAlign w:val="center"/>
          </w:tcPr>
          <w:p>
            <w:r>
              <w:rPr/>
              <w:t>历史输出曾闭合</w:t>
            </w:r>
          </w:p>
        </w:tc>
        <w:tc>
          <w:tcPr>
            <w:tcW w:w="4535" w:type="dxa"/>
            <w:shd w:val="clear" w:color="auto" w:fill="F8FAFC"/>
            <w:tcMar>
              <w:top w:w="70" w:type="dxa"/>
              <w:left w:w="80" w:type="dxa"/>
              <w:bottom w:w="70" w:type="dxa"/>
              <w:right w:w="80" w:type="dxa"/>
            </w:tcMar>
            <w:vAlign w:val="center"/>
          </w:tcPr>
          <w:p>
            <w:r>
              <w:rPr/>
              <w:t>只说明旧分区实现，不能证明 W(s)/terminal 正确</w:t>
            </w:r>
          </w:p>
        </w:tc>
      </w:tr>
      <w:tr w14:paraId="4296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Mar>
              <w:top w:w="70" w:type="dxa"/>
              <w:left w:w="80" w:type="dxa"/>
              <w:bottom w:w="70" w:type="dxa"/>
              <w:right w:w="80" w:type="dxa"/>
            </w:tcMar>
            <w:vAlign w:val="center"/>
          </w:tcPr>
          <w:p>
            <w:r>
              <w:rPr/>
              <w:t>GPU/API correlation</w:t>
            </w:r>
          </w:p>
        </w:tc>
        <w:tc>
          <w:tcPr>
            <w:tcW w:w="3061" w:type="dxa"/>
            <w:tcMar>
              <w:top w:w="70" w:type="dxa"/>
              <w:left w:w="80" w:type="dxa"/>
              <w:bottom w:w="70" w:type="dxa"/>
              <w:right w:w="80" w:type="dxa"/>
            </w:tcMar>
            <w:vAlign w:val="center"/>
          </w:tcPr>
          <w:p>
            <w:r>
              <w:rPr/>
              <w:t>历史报告为 100%</w:t>
            </w:r>
          </w:p>
        </w:tc>
        <w:tc>
          <w:tcPr>
            <w:tcW w:w="4535" w:type="dxa"/>
            <w:tcMar>
              <w:top w:w="70" w:type="dxa"/>
              <w:left w:w="80" w:type="dxa"/>
              <w:bottom w:w="70" w:type="dxa"/>
              <w:right w:w="80" w:type="dxa"/>
            </w:tcMar>
            <w:vAlign w:val="center"/>
          </w:tcPr>
          <w:p>
            <w:r>
              <w:rPr/>
              <w:t>缺 source manifest，不能证明当前 ownership</w:t>
            </w:r>
          </w:p>
        </w:tc>
      </w:tr>
      <w:tr w14:paraId="3FCB8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shd w:val="clear" w:color="auto" w:fill="F8FAFC"/>
            <w:tcMar>
              <w:top w:w="70" w:type="dxa"/>
              <w:left w:w="80" w:type="dxa"/>
              <w:bottom w:w="70" w:type="dxa"/>
              <w:right w:w="80" w:type="dxa"/>
            </w:tcMar>
            <w:vAlign w:val="center"/>
          </w:tcPr>
          <w:p>
            <w:r>
              <w:rPr/>
              <w:t>physical sync UID</w:t>
            </w:r>
          </w:p>
        </w:tc>
        <w:tc>
          <w:tcPr>
            <w:tcW w:w="3061" w:type="dxa"/>
            <w:shd w:val="clear" w:color="auto" w:fill="F8FAFC"/>
            <w:tcMar>
              <w:top w:w="70" w:type="dxa"/>
              <w:left w:w="80" w:type="dxa"/>
              <w:bottom w:w="70" w:type="dxa"/>
              <w:right w:w="80" w:type="dxa"/>
            </w:tcMar>
            <w:vAlign w:val="center"/>
          </w:tcPr>
          <w:p>
            <w:r>
              <w:rPr/>
              <w:t>历史输出无重复</w:t>
            </w:r>
          </w:p>
        </w:tc>
        <w:tc>
          <w:tcPr>
            <w:tcW w:w="4535" w:type="dxa"/>
            <w:shd w:val="clear" w:color="auto" w:fill="F8FAFC"/>
            <w:tcMar>
              <w:top w:w="70" w:type="dxa"/>
              <w:left w:w="80" w:type="dxa"/>
              <w:bottom w:w="70" w:type="dxa"/>
              <w:right w:w="80" w:type="dxa"/>
            </w:tcMar>
            <w:vAlign w:val="center"/>
          </w:tcPr>
          <w:p>
            <w:r>
              <w:rPr/>
              <w:t>只能用于 Engineering 回归</w:t>
            </w:r>
          </w:p>
        </w:tc>
      </w:tr>
      <w:tr w14:paraId="1DFBB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Mar>
              <w:top w:w="70" w:type="dxa"/>
              <w:left w:w="80" w:type="dxa"/>
              <w:bottom w:w="70" w:type="dxa"/>
              <w:right w:w="80" w:type="dxa"/>
            </w:tcMar>
            <w:vAlign w:val="center"/>
          </w:tcPr>
          <w:p>
            <w:r>
              <w:rPr/>
              <w:t>Raw/B interval</w:t>
            </w:r>
          </w:p>
        </w:tc>
        <w:tc>
          <w:tcPr>
            <w:tcW w:w="3061" w:type="dxa"/>
            <w:tcMar>
              <w:top w:w="70" w:type="dxa"/>
              <w:left w:w="80" w:type="dxa"/>
              <w:bottom w:w="70" w:type="dxa"/>
              <w:right w:w="80" w:type="dxa"/>
            </w:tcMar>
            <w:vAlign w:val="center"/>
          </w:tcPr>
          <w:p>
            <w:r>
              <w:rPr/>
              <w:t>历史输出无一致性错误</w:t>
            </w:r>
          </w:p>
        </w:tc>
        <w:tc>
          <w:tcPr>
            <w:tcW w:w="4535" w:type="dxa"/>
            <w:tcMar>
              <w:top w:w="70" w:type="dxa"/>
              <w:left w:w="80" w:type="dxa"/>
              <w:bottom w:w="70" w:type="dxa"/>
              <w:right w:w="80" w:type="dxa"/>
            </w:tcMar>
            <w:vAlign w:val="center"/>
          </w:tcPr>
          <w:p>
            <w:r>
              <w:rPr/>
              <w:t>旧 B 定义已变化，必须重新分析</w:t>
            </w:r>
          </w:p>
        </w:tc>
      </w:tr>
      <w:tr w14:paraId="3F2C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shd w:val="clear" w:color="auto" w:fill="F8FAFC"/>
            <w:tcMar>
              <w:top w:w="70" w:type="dxa"/>
              <w:left w:w="80" w:type="dxa"/>
              <w:bottom w:w="70" w:type="dxa"/>
              <w:right w:w="80" w:type="dxa"/>
            </w:tcMar>
            <w:vAlign w:val="center"/>
          </w:tcPr>
          <w:p>
            <w:r>
              <w:rPr/>
              <w:t>局部异常</w:t>
            </w:r>
          </w:p>
        </w:tc>
        <w:tc>
          <w:tcPr>
            <w:tcW w:w="3061" w:type="dxa"/>
            <w:shd w:val="clear" w:color="auto" w:fill="F8FAFC"/>
            <w:tcMar>
              <w:top w:w="70" w:type="dxa"/>
              <w:left w:w="80" w:type="dxa"/>
              <w:bottom w:w="70" w:type="dxa"/>
              <w:right w:w="80" w:type="dxa"/>
            </w:tcMar>
            <w:vAlign w:val="center"/>
          </w:tcPr>
          <w:p>
            <w:r>
              <w:rPr/>
              <w:t>4090 p128/b1 曾出现 TRACE_ORDERING_ERROR</w:t>
            </w:r>
          </w:p>
        </w:tc>
        <w:tc>
          <w:tcPr>
            <w:tcW w:w="4535" w:type="dxa"/>
            <w:shd w:val="clear" w:color="auto" w:fill="F8FAFC"/>
            <w:tcMar>
              <w:top w:w="70" w:type="dxa"/>
              <w:left w:w="80" w:type="dxa"/>
              <w:bottom w:w="70" w:type="dxa"/>
              <w:right w:w="80" w:type="dxa"/>
            </w:tcMar>
            <w:vAlign w:val="center"/>
          </w:tcPr>
          <w:p>
            <w:r>
              <w:rPr/>
              <w:t>保留为 Q0/回归负例线索</w:t>
            </w:r>
          </w:p>
        </w:tc>
      </w:tr>
    </w:tbl>
    <w:p w14:paraId="40E763D7">
      <w:pPr>
        <w:spacing w:after="20"/>
        <w:rPr>
          <w:rFonts w:ascii="Times New Roman" w:hAnsi="Times New Roman" w:eastAsia="宋体"/>
        </w:rPr>
      </w:pPr>
    </w:p>
    <w:p w14:paraId="0274E265">
      <w:pPr>
        <w:pStyle w:val="4"/>
        <w:rPr>
          <w:rFonts w:ascii="Times New Roman" w:hAnsi="Times New Roman" w:eastAsia="宋体"/>
          <w:highlight w:val="none"/>
        </w:rPr>
      </w:pPr>
      <w:r>
        <w:rPr>
          <w:rFonts w:ascii="Times New Roman" w:hAnsi="Times New Roman" w:eastAsia="宋体"/>
          <w:color w:val="000000"/>
        </w:rPr>
        <w:t>D.3 Prefill 主趋势</w:t>
      </w:r>
    </w:p>
    <w:p w14:paraId="0564E73E">
      <w:pPr>
        <w:ind w:firstLine="0"/>
        <w:jc w:val="center"/>
        <w:rPr>
          <w:rFonts w:ascii="Times New Roman" w:hAnsi="Times New Roman" w:eastAsia="宋体"/>
        </w:rPr>
      </w:pPr>
      <w:r>
        <w:rPr>
          <w:rFonts w:ascii="Times New Roman" w:hAnsi="Times New Roman" w:eastAsia="宋体"/>
          <w:color w:val="000000"/>
        </w:rPr>
        <w:drawing>
          <wp:inline distT="0" distB="0" distL="114300" distR="114300">
            <wp:extent cx="5615940" cy="2688590"/>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16000" cy="2688985"/>
                    </a:xfrm>
                    <a:prstGeom prst="rect">
                      <a:avLst/>
                    </a:prstGeom>
                  </pic:spPr>
                </pic:pic>
              </a:graphicData>
            </a:graphic>
          </wp:inline>
        </w:drawing>
      </w:r>
    </w:p>
    <w:p w14:paraId="57FEC1E3">
      <w:pPr>
        <w:pStyle w:val="15"/>
        <w:ind w:firstLine="0"/>
        <w:rPr>
          <w:rFonts w:ascii="Times New Roman" w:hAnsi="Times New Roman" w:eastAsia="宋体"/>
        </w:rPr>
      </w:pPr>
      <w:bookmarkStart w:id="0" w:name="_GoBack"/>
      <w:bookmarkEnd w:id="0"/>
      <w:r>
        <w:rPr>
          <w:rFonts w:ascii="Times New Roman" w:hAnsi="Times New Roman" w:eastAsia="宋体"/>
          <w:color w:val="000000"/>
        </w:rPr>
        <w:t>图 3-1　双 GPU 先导矩阵的 prefill A 组成端点</w:t>
      </w:r>
    </w:p>
    <w:p w14:paraId="2E49F6C1">
      <w:pPr>
        <w:rPr>
          <w:rFonts w:hint="eastAsia" w:ascii="Times New Roman" w:hAnsi="Times New Roman" w:eastAsia="宋体"/>
          <w:lang w:eastAsia="zh-CN"/>
        </w:rPr>
      </w:pPr>
      <w:r>
        <w:rPr>
          <w:rFonts w:hint="eastAsia" w:ascii="Times New Roman" w:hAnsi="Times New Roman" w:eastAsia="宋体"/>
          <w:color w:val="000000"/>
          <w:lang w:eastAsia="zh-CN"/>
        </w:rPr>
        <w:drawing>
          <wp:inline distT="0" distB="0" distL="114300" distR="114300">
            <wp:extent cx="5266055" cy="2861310"/>
            <wp:effectExtent l="0" t="0" r="6985" b="3810"/>
            <wp:docPr id="2" name="图片 2" descr="figure1_ccfa_bottleneck_ph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1_ccfa_bottleneck_phase_diagram"/>
                    <pic:cNvPicPr>
                      <a:picLocks noChangeAspect="1"/>
                    </pic:cNvPicPr>
                  </pic:nvPicPr>
                  <pic:blipFill>
                    <a:blip r:embed="rId10"/>
                    <a:stretch>
                      <a:fillRect/>
                    </a:stretch>
                  </pic:blipFill>
                  <pic:spPr>
                    <a:xfrm>
                      <a:off x="0" y="0"/>
                      <a:ext cx="5266055" cy="2861310"/>
                    </a:xfrm>
                    <a:prstGeom prst="rect">
                      <a:avLst/>
                    </a:prstGeom>
                  </pic:spPr>
                </pic:pic>
              </a:graphicData>
            </a:graphic>
          </wp:inline>
        </w:drawing>
      </w:r>
    </w:p>
    <w:p w14:paraId="1F6FECAC">
      <w:pPr>
        <w:pStyle w:val="15"/>
        <w:ind w:firstLine="0"/>
        <w:rPr>
          <w:rFonts w:hint="default" w:ascii="Times New Roman" w:hAnsi="Times New Roman" w:eastAsia="宋体"/>
          <w:lang w:val="en-US" w:eastAsia="zh-CN"/>
        </w:rPr>
      </w:pPr>
      <w:r>
        <w:rPr>
          <w:rFonts w:ascii="Times New Roman" w:hAnsi="Times New Roman" w:eastAsia="宋体"/>
          <w:color w:val="000000"/>
        </w:rPr>
        <w:t>图 3-</w:t>
      </w:r>
      <w:r>
        <w:rPr>
          <w:rFonts w:hint="eastAsia" w:ascii="Times New Roman" w:hAnsi="Times New Roman" w:eastAsia="宋体"/>
          <w:color w:val="000000"/>
          <w:lang w:val="en-US" w:eastAsia="zh-CN"/>
        </w:rPr>
        <w:t>2</w:t>
      </w:r>
      <w:r>
        <w:rPr>
          <w:rFonts w:ascii="Times New Roman" w:hAnsi="Times New Roman" w:eastAsia="宋体"/>
          <w:color w:val="000000"/>
        </w:rPr>
        <w:t>　双 GPU</w:t>
      </w:r>
      <w:r>
        <w:rPr>
          <w:rFonts w:hint="eastAsia" w:ascii="Times New Roman" w:hAnsi="Times New Roman" w:eastAsia="宋体"/>
          <w:color w:val="000000"/>
          <w:lang w:val="en-US" w:eastAsia="zh-CN"/>
        </w:rPr>
        <w:t xml:space="preserve"> 的4*4组实验下的Prefill阶段的D指标热力变化图</w:t>
      </w:r>
    </w:p>
    <w:p w14:paraId="47EFBEF7">
      <w:pPr>
        <w:rPr>
          <w:rFonts w:hint="eastAsia" w:ascii="Times New Roman" w:hAnsi="Times New Roman" w:eastAsia="宋体"/>
          <w:lang w:eastAsia="zh-CN"/>
        </w:rPr>
      </w:pPr>
    </w:p>
    <w:p w14:paraId="0EE63DA6">
      <w:pPr>
        <w:rPr>
          <w:rFonts w:ascii="Times New Roman" w:hAnsi="Times New Roman" w:eastAsia="宋体"/>
        </w:rPr>
      </w:pPr>
      <w:r>
        <w:rPr>
          <w:rFonts w:ascii="Times New Roman" w:hAnsi="Times New Roman" w:eastAsia="宋体"/>
          <w:color w:val="000000"/>
        </w:rPr>
        <w:t>历史 Prefill 图显示过候选方向，但旧 analyzer 与运行合同尚未满足 v1.4.1，因此该趋势只能生成待检验假设，不能预先冻结为 G1 结论。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1621"/>
        <w:gridCol w:w="1600"/>
        <w:gridCol w:w="1735"/>
        <w:gridCol w:w="1788"/>
      </w:tblGrid>
      <w:tr w14:paraId="265D5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38" w:type="dxa"/>
            <w:shd w:val="clear" w:color="auto" w:fill="DCE6F1"/>
            <w:tcMar>
              <w:top w:w="70" w:type="dxa"/>
              <w:left w:w="80" w:type="dxa"/>
              <w:bottom w:w="70" w:type="dxa"/>
              <w:right w:w="80" w:type="dxa"/>
            </w:tcMar>
            <w:vAlign w:val="center"/>
          </w:tcPr>
          <w:p w14:paraId="11A870DD">
            <w:pPr>
              <w:ind w:firstLine="0"/>
              <w:jc w:val="center"/>
              <w:rPr>
                <w:rFonts w:ascii="Times New Roman" w:hAnsi="Times New Roman" w:eastAsia="宋体"/>
              </w:rPr>
            </w:pPr>
            <w:r>
              <w:rPr>
                <w:rFonts w:ascii="Times New Roman" w:hAnsi="Times New Roman" w:eastAsia="宋体"/>
                <w:b/>
                <w:color w:val="19375A"/>
                <w:sz w:val="17"/>
              </w:rPr>
              <w:t>端点</w:t>
            </w:r>
          </w:p>
        </w:tc>
        <w:tc>
          <w:tcPr>
            <w:tcW w:w="1938" w:type="dxa"/>
            <w:shd w:val="clear" w:color="auto" w:fill="DCE6F1"/>
            <w:tcMar>
              <w:top w:w="70" w:type="dxa"/>
              <w:left w:w="80" w:type="dxa"/>
              <w:bottom w:w="70" w:type="dxa"/>
              <w:right w:w="80" w:type="dxa"/>
            </w:tcMar>
            <w:vAlign w:val="center"/>
          </w:tcPr>
          <w:p w14:paraId="005382C8">
            <w:pPr>
              <w:ind w:firstLine="0"/>
              <w:jc w:val="center"/>
              <w:rPr>
                <w:rFonts w:ascii="Times New Roman" w:hAnsi="Times New Roman" w:eastAsia="宋体"/>
              </w:rPr>
            </w:pPr>
            <w:r>
              <w:rPr>
                <w:rFonts w:ascii="Times New Roman" w:hAnsi="Times New Roman" w:eastAsia="宋体"/>
                <w:b/>
                <w:color w:val="19375A"/>
                <w:sz w:val="17"/>
              </w:rPr>
              <w:t>A_host_path</w:t>
            </w:r>
          </w:p>
        </w:tc>
        <w:tc>
          <w:tcPr>
            <w:tcW w:w="1938" w:type="dxa"/>
            <w:shd w:val="clear" w:color="auto" w:fill="DCE6F1"/>
            <w:tcMar>
              <w:top w:w="70" w:type="dxa"/>
              <w:left w:w="80" w:type="dxa"/>
              <w:bottom w:w="70" w:type="dxa"/>
              <w:right w:w="80" w:type="dxa"/>
            </w:tcMar>
            <w:vAlign w:val="center"/>
          </w:tcPr>
          <w:p w14:paraId="560D3477">
            <w:pPr>
              <w:ind w:firstLine="0"/>
              <w:jc w:val="center"/>
              <w:rPr>
                <w:rFonts w:ascii="Times New Roman" w:hAnsi="Times New Roman" w:eastAsia="宋体"/>
              </w:rPr>
            </w:pPr>
            <w:r>
              <w:rPr>
                <w:rFonts w:ascii="Times New Roman" w:hAnsi="Times New Roman" w:eastAsia="宋体"/>
                <w:b/>
                <w:color w:val="19375A"/>
                <w:sz w:val="17"/>
              </w:rPr>
              <w:t>A_cuda_api</w:t>
            </w:r>
          </w:p>
        </w:tc>
        <w:tc>
          <w:tcPr>
            <w:tcW w:w="1938" w:type="dxa"/>
            <w:shd w:val="clear" w:color="auto" w:fill="DCE6F1"/>
            <w:tcMar>
              <w:top w:w="70" w:type="dxa"/>
              <w:left w:w="80" w:type="dxa"/>
              <w:bottom w:w="70" w:type="dxa"/>
              <w:right w:w="80" w:type="dxa"/>
            </w:tcMar>
            <w:vAlign w:val="center"/>
          </w:tcPr>
          <w:p w14:paraId="7E0CFAF5">
            <w:pPr>
              <w:ind w:firstLine="0"/>
              <w:jc w:val="center"/>
              <w:rPr>
                <w:rFonts w:ascii="Times New Roman" w:hAnsi="Times New Roman" w:eastAsia="宋体"/>
              </w:rPr>
            </w:pPr>
            <w:r>
              <w:rPr>
                <w:rFonts w:ascii="Times New Roman" w:hAnsi="Times New Roman" w:eastAsia="宋体"/>
                <w:b/>
                <w:color w:val="19375A"/>
                <w:sz w:val="17"/>
              </w:rPr>
              <w:t>A_device_wait</w:t>
            </w:r>
          </w:p>
        </w:tc>
        <w:tc>
          <w:tcPr>
            <w:tcW w:w="1938" w:type="dxa"/>
            <w:shd w:val="clear" w:color="auto" w:fill="DCE6F1"/>
            <w:tcMar>
              <w:top w:w="70" w:type="dxa"/>
              <w:left w:w="80" w:type="dxa"/>
              <w:bottom w:w="70" w:type="dxa"/>
              <w:right w:w="80" w:type="dxa"/>
            </w:tcMar>
            <w:vAlign w:val="center"/>
          </w:tcPr>
          <w:p w14:paraId="076D10B1">
            <w:pPr>
              <w:ind w:firstLine="0"/>
              <w:jc w:val="center"/>
              <w:rPr>
                <w:rFonts w:ascii="Times New Roman" w:hAnsi="Times New Roman" w:eastAsia="宋体"/>
              </w:rPr>
            </w:pPr>
            <w:r>
              <w:rPr>
                <w:rFonts w:ascii="Times New Roman" w:hAnsi="Times New Roman" w:eastAsia="宋体"/>
                <w:b/>
                <w:color w:val="19375A"/>
                <w:sz w:val="17"/>
              </w:rPr>
              <w:t>A_sync_residual</w:t>
            </w:r>
          </w:p>
        </w:tc>
      </w:tr>
      <w:tr w14:paraId="138B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26BA039">
            <w:pPr>
              <w:spacing w:after="0"/>
              <w:ind w:firstLine="0"/>
              <w:rPr>
                <w:rFonts w:ascii="Times New Roman" w:hAnsi="Times New Roman" w:eastAsia="宋体"/>
              </w:rPr>
            </w:pPr>
            <w:r>
              <w:rPr>
                <w:rFonts w:ascii="Times New Roman" w:hAnsi="Times New Roman" w:eastAsia="宋体"/>
                <w:sz w:val="17"/>
              </w:rPr>
              <w:t>4090 p128/b1</w:t>
            </w:r>
          </w:p>
        </w:tc>
        <w:tc>
          <w:tcPr>
            <w:tcW w:w="1928" w:type="dxa"/>
            <w:tcMar>
              <w:top w:w="70" w:type="dxa"/>
              <w:left w:w="80" w:type="dxa"/>
              <w:bottom w:w="70" w:type="dxa"/>
              <w:right w:w="80" w:type="dxa"/>
            </w:tcMar>
            <w:vAlign w:val="center"/>
          </w:tcPr>
          <w:p w14:paraId="5ABF493A">
            <w:pPr>
              <w:spacing w:after="0"/>
              <w:ind w:firstLine="0"/>
              <w:rPr>
                <w:rFonts w:ascii="Times New Roman" w:hAnsi="Times New Roman" w:eastAsia="宋体"/>
              </w:rPr>
            </w:pPr>
            <w:r>
              <w:rPr>
                <w:rFonts w:ascii="Times New Roman" w:hAnsi="Times New Roman" w:eastAsia="宋体"/>
                <w:sz w:val="17"/>
              </w:rPr>
              <w:t>20.76%</w:t>
            </w:r>
          </w:p>
        </w:tc>
        <w:tc>
          <w:tcPr>
            <w:tcW w:w="1928" w:type="dxa"/>
            <w:tcMar>
              <w:top w:w="70" w:type="dxa"/>
              <w:left w:w="80" w:type="dxa"/>
              <w:bottom w:w="70" w:type="dxa"/>
              <w:right w:w="80" w:type="dxa"/>
            </w:tcMar>
            <w:vAlign w:val="center"/>
          </w:tcPr>
          <w:p w14:paraId="28847F2B">
            <w:pPr>
              <w:spacing w:after="0"/>
              <w:ind w:firstLine="0"/>
              <w:rPr>
                <w:rFonts w:ascii="Times New Roman" w:hAnsi="Times New Roman" w:eastAsia="宋体"/>
              </w:rPr>
            </w:pPr>
            <w:r>
              <w:rPr>
                <w:rFonts w:ascii="Times New Roman" w:hAnsi="Times New Roman" w:eastAsia="宋体"/>
                <w:sz w:val="17"/>
              </w:rPr>
              <w:t>46.72%</w:t>
            </w:r>
          </w:p>
        </w:tc>
        <w:tc>
          <w:tcPr>
            <w:tcW w:w="2041" w:type="dxa"/>
            <w:tcMar>
              <w:top w:w="70" w:type="dxa"/>
              <w:left w:w="80" w:type="dxa"/>
              <w:bottom w:w="70" w:type="dxa"/>
              <w:right w:w="80" w:type="dxa"/>
            </w:tcMar>
            <w:vAlign w:val="center"/>
          </w:tcPr>
          <w:p w14:paraId="11925611">
            <w:pPr>
              <w:spacing w:after="0"/>
              <w:ind w:firstLine="0"/>
              <w:rPr>
                <w:rFonts w:ascii="Times New Roman" w:hAnsi="Times New Roman" w:eastAsia="宋体"/>
              </w:rPr>
            </w:pPr>
            <w:r>
              <w:rPr>
                <w:rFonts w:ascii="Times New Roman" w:hAnsi="Times New Roman" w:eastAsia="宋体"/>
                <w:sz w:val="17"/>
              </w:rPr>
              <w:t>14.75%</w:t>
            </w:r>
          </w:p>
        </w:tc>
        <w:tc>
          <w:tcPr>
            <w:tcW w:w="2041" w:type="dxa"/>
            <w:tcMar>
              <w:top w:w="70" w:type="dxa"/>
              <w:left w:w="80" w:type="dxa"/>
              <w:bottom w:w="70" w:type="dxa"/>
              <w:right w:w="80" w:type="dxa"/>
            </w:tcMar>
            <w:vAlign w:val="center"/>
          </w:tcPr>
          <w:p w14:paraId="658163DD">
            <w:pPr>
              <w:spacing w:after="0"/>
              <w:ind w:firstLine="0"/>
              <w:rPr>
                <w:rFonts w:ascii="Times New Roman" w:hAnsi="Times New Roman" w:eastAsia="宋体"/>
              </w:rPr>
            </w:pPr>
            <w:r>
              <w:rPr>
                <w:rFonts w:ascii="Times New Roman" w:hAnsi="Times New Roman" w:eastAsia="宋体"/>
                <w:sz w:val="17"/>
              </w:rPr>
              <w:t>17.77%</w:t>
            </w:r>
          </w:p>
        </w:tc>
      </w:tr>
      <w:tr w14:paraId="2A68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8FAFC"/>
            <w:tcMar>
              <w:top w:w="70" w:type="dxa"/>
              <w:left w:w="80" w:type="dxa"/>
              <w:bottom w:w="70" w:type="dxa"/>
              <w:right w:w="80" w:type="dxa"/>
            </w:tcMar>
            <w:vAlign w:val="center"/>
          </w:tcPr>
          <w:p w14:paraId="3F3007D5">
            <w:pPr>
              <w:spacing w:after="0"/>
              <w:ind w:firstLine="0"/>
              <w:rPr>
                <w:rFonts w:ascii="Times New Roman" w:hAnsi="Times New Roman" w:eastAsia="宋体"/>
              </w:rPr>
            </w:pPr>
            <w:r>
              <w:rPr>
                <w:rFonts w:ascii="Times New Roman" w:hAnsi="Times New Roman" w:eastAsia="宋体"/>
                <w:sz w:val="17"/>
              </w:rPr>
              <w:t>4090 p1024/b8</w:t>
            </w:r>
          </w:p>
        </w:tc>
        <w:tc>
          <w:tcPr>
            <w:tcW w:w="1928" w:type="dxa"/>
            <w:shd w:val="clear" w:color="auto" w:fill="F8FAFC"/>
            <w:tcMar>
              <w:top w:w="70" w:type="dxa"/>
              <w:left w:w="80" w:type="dxa"/>
              <w:bottom w:w="70" w:type="dxa"/>
              <w:right w:w="80" w:type="dxa"/>
            </w:tcMar>
            <w:vAlign w:val="center"/>
          </w:tcPr>
          <w:p w14:paraId="198065DF">
            <w:pPr>
              <w:spacing w:after="0"/>
              <w:ind w:firstLine="0"/>
              <w:rPr>
                <w:rFonts w:ascii="Times New Roman" w:hAnsi="Times New Roman" w:eastAsia="宋体"/>
              </w:rPr>
            </w:pPr>
            <w:r>
              <w:rPr>
                <w:rFonts w:ascii="Times New Roman" w:hAnsi="Times New Roman" w:eastAsia="宋体"/>
                <w:sz w:val="17"/>
              </w:rPr>
              <w:t>8.51%</w:t>
            </w:r>
          </w:p>
        </w:tc>
        <w:tc>
          <w:tcPr>
            <w:tcW w:w="1928" w:type="dxa"/>
            <w:shd w:val="clear" w:color="auto" w:fill="F8FAFC"/>
            <w:tcMar>
              <w:top w:w="70" w:type="dxa"/>
              <w:left w:w="80" w:type="dxa"/>
              <w:bottom w:w="70" w:type="dxa"/>
              <w:right w:w="80" w:type="dxa"/>
            </w:tcMar>
            <w:vAlign w:val="center"/>
          </w:tcPr>
          <w:p w14:paraId="1BCE4DD8">
            <w:pPr>
              <w:spacing w:after="0"/>
              <w:ind w:firstLine="0"/>
              <w:rPr>
                <w:rFonts w:ascii="Times New Roman" w:hAnsi="Times New Roman" w:eastAsia="宋体"/>
              </w:rPr>
            </w:pPr>
            <w:r>
              <w:rPr>
                <w:rFonts w:ascii="Times New Roman" w:hAnsi="Times New Roman" w:eastAsia="宋体"/>
                <w:sz w:val="17"/>
              </w:rPr>
              <w:t>16.01%</w:t>
            </w:r>
          </w:p>
        </w:tc>
        <w:tc>
          <w:tcPr>
            <w:tcW w:w="2041" w:type="dxa"/>
            <w:shd w:val="clear" w:color="auto" w:fill="F8FAFC"/>
            <w:tcMar>
              <w:top w:w="70" w:type="dxa"/>
              <w:left w:w="80" w:type="dxa"/>
              <w:bottom w:w="70" w:type="dxa"/>
              <w:right w:w="80" w:type="dxa"/>
            </w:tcMar>
            <w:vAlign w:val="center"/>
          </w:tcPr>
          <w:p w14:paraId="19CB0062">
            <w:pPr>
              <w:spacing w:after="0"/>
              <w:ind w:firstLine="0"/>
              <w:rPr>
                <w:rFonts w:ascii="Times New Roman" w:hAnsi="Times New Roman" w:eastAsia="宋体"/>
              </w:rPr>
            </w:pPr>
            <w:r>
              <w:rPr>
                <w:rFonts w:ascii="Times New Roman" w:hAnsi="Times New Roman" w:eastAsia="宋体"/>
                <w:sz w:val="17"/>
              </w:rPr>
              <w:t>63.24%</w:t>
            </w:r>
          </w:p>
        </w:tc>
        <w:tc>
          <w:tcPr>
            <w:tcW w:w="2041" w:type="dxa"/>
            <w:shd w:val="clear" w:color="auto" w:fill="F8FAFC"/>
            <w:tcMar>
              <w:top w:w="70" w:type="dxa"/>
              <w:left w:w="80" w:type="dxa"/>
              <w:bottom w:w="70" w:type="dxa"/>
              <w:right w:w="80" w:type="dxa"/>
            </w:tcMar>
            <w:vAlign w:val="center"/>
          </w:tcPr>
          <w:p w14:paraId="5446667A">
            <w:pPr>
              <w:spacing w:after="0"/>
              <w:ind w:firstLine="0"/>
              <w:rPr>
                <w:rFonts w:ascii="Times New Roman" w:hAnsi="Times New Roman" w:eastAsia="宋体"/>
              </w:rPr>
            </w:pPr>
            <w:r>
              <w:rPr>
                <w:rFonts w:ascii="Times New Roman" w:hAnsi="Times New Roman" w:eastAsia="宋体"/>
                <w:sz w:val="17"/>
              </w:rPr>
              <w:t>12.24%</w:t>
            </w:r>
          </w:p>
        </w:tc>
      </w:tr>
      <w:tr w14:paraId="4656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49F64BC">
            <w:pPr>
              <w:spacing w:after="0"/>
              <w:ind w:firstLine="0"/>
              <w:rPr>
                <w:rFonts w:ascii="Times New Roman" w:hAnsi="Times New Roman" w:eastAsia="宋体"/>
              </w:rPr>
            </w:pPr>
            <w:r>
              <w:rPr>
                <w:rFonts w:ascii="Times New Roman" w:hAnsi="Times New Roman" w:eastAsia="宋体"/>
                <w:sz w:val="17"/>
              </w:rPr>
              <w:t>6000 p128/b1</w:t>
            </w:r>
          </w:p>
        </w:tc>
        <w:tc>
          <w:tcPr>
            <w:tcW w:w="1928" w:type="dxa"/>
            <w:tcMar>
              <w:top w:w="70" w:type="dxa"/>
              <w:left w:w="80" w:type="dxa"/>
              <w:bottom w:w="70" w:type="dxa"/>
              <w:right w:w="80" w:type="dxa"/>
            </w:tcMar>
            <w:vAlign w:val="center"/>
          </w:tcPr>
          <w:p w14:paraId="380D80D3">
            <w:pPr>
              <w:spacing w:after="0"/>
              <w:ind w:firstLine="0"/>
              <w:rPr>
                <w:rFonts w:ascii="Times New Roman" w:hAnsi="Times New Roman" w:eastAsia="宋体"/>
              </w:rPr>
            </w:pPr>
            <w:r>
              <w:rPr>
                <w:rFonts w:ascii="Times New Roman" w:hAnsi="Times New Roman" w:eastAsia="宋体"/>
                <w:sz w:val="17"/>
              </w:rPr>
              <w:t>20.64%</w:t>
            </w:r>
          </w:p>
        </w:tc>
        <w:tc>
          <w:tcPr>
            <w:tcW w:w="1928" w:type="dxa"/>
            <w:tcMar>
              <w:top w:w="70" w:type="dxa"/>
              <w:left w:w="80" w:type="dxa"/>
              <w:bottom w:w="70" w:type="dxa"/>
              <w:right w:w="80" w:type="dxa"/>
            </w:tcMar>
            <w:vAlign w:val="center"/>
          </w:tcPr>
          <w:p w14:paraId="319D64A9">
            <w:pPr>
              <w:spacing w:after="0"/>
              <w:ind w:firstLine="0"/>
              <w:rPr>
                <w:rFonts w:ascii="Times New Roman" w:hAnsi="Times New Roman" w:eastAsia="宋体"/>
              </w:rPr>
            </w:pPr>
            <w:r>
              <w:rPr>
                <w:rFonts w:ascii="Times New Roman" w:hAnsi="Times New Roman" w:eastAsia="宋体"/>
                <w:sz w:val="17"/>
              </w:rPr>
              <w:t>29.93%</w:t>
            </w:r>
          </w:p>
        </w:tc>
        <w:tc>
          <w:tcPr>
            <w:tcW w:w="2041" w:type="dxa"/>
            <w:tcMar>
              <w:top w:w="70" w:type="dxa"/>
              <w:left w:w="80" w:type="dxa"/>
              <w:bottom w:w="70" w:type="dxa"/>
              <w:right w:w="80" w:type="dxa"/>
            </w:tcMar>
            <w:vAlign w:val="center"/>
          </w:tcPr>
          <w:p w14:paraId="20FCE4F6">
            <w:pPr>
              <w:spacing w:after="0"/>
              <w:ind w:firstLine="0"/>
              <w:rPr>
                <w:rFonts w:ascii="Times New Roman" w:hAnsi="Times New Roman" w:eastAsia="宋体"/>
              </w:rPr>
            </w:pPr>
            <w:r>
              <w:rPr>
                <w:rFonts w:ascii="Times New Roman" w:hAnsi="Times New Roman" w:eastAsia="宋体"/>
                <w:sz w:val="17"/>
              </w:rPr>
              <w:t>24.80%</w:t>
            </w:r>
          </w:p>
        </w:tc>
        <w:tc>
          <w:tcPr>
            <w:tcW w:w="2041" w:type="dxa"/>
            <w:tcMar>
              <w:top w:w="70" w:type="dxa"/>
              <w:left w:w="80" w:type="dxa"/>
              <w:bottom w:w="70" w:type="dxa"/>
              <w:right w:w="80" w:type="dxa"/>
            </w:tcMar>
            <w:vAlign w:val="center"/>
          </w:tcPr>
          <w:p w14:paraId="46518E5F">
            <w:pPr>
              <w:spacing w:after="0"/>
              <w:ind w:firstLine="0"/>
              <w:rPr>
                <w:rFonts w:ascii="Times New Roman" w:hAnsi="Times New Roman" w:eastAsia="宋体"/>
              </w:rPr>
            </w:pPr>
            <w:r>
              <w:rPr>
                <w:rFonts w:ascii="Times New Roman" w:hAnsi="Times New Roman" w:eastAsia="宋体"/>
                <w:sz w:val="17"/>
              </w:rPr>
              <w:t>24.63%</w:t>
            </w:r>
          </w:p>
        </w:tc>
      </w:tr>
      <w:tr w14:paraId="1F808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8FAFC"/>
            <w:tcMar>
              <w:top w:w="70" w:type="dxa"/>
              <w:left w:w="80" w:type="dxa"/>
              <w:bottom w:w="70" w:type="dxa"/>
              <w:right w:w="80" w:type="dxa"/>
            </w:tcMar>
            <w:vAlign w:val="center"/>
          </w:tcPr>
          <w:p w14:paraId="3FC7D692">
            <w:pPr>
              <w:spacing w:after="0"/>
              <w:ind w:firstLine="0"/>
              <w:rPr>
                <w:rFonts w:ascii="Times New Roman" w:hAnsi="Times New Roman" w:eastAsia="宋体"/>
              </w:rPr>
            </w:pPr>
            <w:r>
              <w:rPr>
                <w:rFonts w:ascii="Times New Roman" w:hAnsi="Times New Roman" w:eastAsia="宋体"/>
                <w:sz w:val="17"/>
              </w:rPr>
              <w:t>6000 p1024/b8</w:t>
            </w:r>
          </w:p>
        </w:tc>
        <w:tc>
          <w:tcPr>
            <w:tcW w:w="1928" w:type="dxa"/>
            <w:shd w:val="clear" w:color="auto" w:fill="F8FAFC"/>
            <w:tcMar>
              <w:top w:w="70" w:type="dxa"/>
              <w:left w:w="80" w:type="dxa"/>
              <w:bottom w:w="70" w:type="dxa"/>
              <w:right w:w="80" w:type="dxa"/>
            </w:tcMar>
            <w:vAlign w:val="center"/>
          </w:tcPr>
          <w:p w14:paraId="616273C6">
            <w:pPr>
              <w:spacing w:after="0"/>
              <w:ind w:firstLine="0"/>
              <w:rPr>
                <w:rFonts w:ascii="Times New Roman" w:hAnsi="Times New Roman" w:eastAsia="宋体"/>
              </w:rPr>
            </w:pPr>
            <w:r>
              <w:rPr>
                <w:rFonts w:ascii="Times New Roman" w:hAnsi="Times New Roman" w:eastAsia="宋体"/>
                <w:sz w:val="17"/>
              </w:rPr>
              <w:t>6.71%</w:t>
            </w:r>
          </w:p>
        </w:tc>
        <w:tc>
          <w:tcPr>
            <w:tcW w:w="1928" w:type="dxa"/>
            <w:shd w:val="clear" w:color="auto" w:fill="F8FAFC"/>
            <w:tcMar>
              <w:top w:w="70" w:type="dxa"/>
              <w:left w:w="80" w:type="dxa"/>
              <w:bottom w:w="70" w:type="dxa"/>
              <w:right w:w="80" w:type="dxa"/>
            </w:tcMar>
            <w:vAlign w:val="center"/>
          </w:tcPr>
          <w:p w14:paraId="1E736F1E">
            <w:pPr>
              <w:spacing w:after="0"/>
              <w:ind w:firstLine="0"/>
              <w:rPr>
                <w:rFonts w:ascii="Times New Roman" w:hAnsi="Times New Roman" w:eastAsia="宋体"/>
              </w:rPr>
            </w:pPr>
            <w:r>
              <w:rPr>
                <w:rFonts w:ascii="Times New Roman" w:hAnsi="Times New Roman" w:eastAsia="宋体"/>
                <w:sz w:val="17"/>
              </w:rPr>
              <w:t>7.78%</w:t>
            </w:r>
          </w:p>
        </w:tc>
        <w:tc>
          <w:tcPr>
            <w:tcW w:w="2041" w:type="dxa"/>
            <w:shd w:val="clear" w:color="auto" w:fill="F8FAFC"/>
            <w:tcMar>
              <w:top w:w="70" w:type="dxa"/>
              <w:left w:w="80" w:type="dxa"/>
              <w:bottom w:w="70" w:type="dxa"/>
              <w:right w:w="80" w:type="dxa"/>
            </w:tcMar>
            <w:vAlign w:val="center"/>
          </w:tcPr>
          <w:p w14:paraId="206F62D0">
            <w:pPr>
              <w:spacing w:after="0"/>
              <w:ind w:firstLine="0"/>
              <w:rPr>
                <w:rFonts w:ascii="Times New Roman" w:hAnsi="Times New Roman" w:eastAsia="宋体"/>
              </w:rPr>
            </w:pPr>
            <w:r>
              <w:rPr>
                <w:rFonts w:ascii="Times New Roman" w:hAnsi="Times New Roman" w:eastAsia="宋体"/>
                <w:sz w:val="17"/>
              </w:rPr>
              <w:t>69.29%</w:t>
            </w:r>
          </w:p>
        </w:tc>
        <w:tc>
          <w:tcPr>
            <w:tcW w:w="2041" w:type="dxa"/>
            <w:shd w:val="clear" w:color="auto" w:fill="F8FAFC"/>
            <w:tcMar>
              <w:top w:w="70" w:type="dxa"/>
              <w:left w:w="80" w:type="dxa"/>
              <w:bottom w:w="70" w:type="dxa"/>
              <w:right w:w="80" w:type="dxa"/>
            </w:tcMar>
            <w:vAlign w:val="center"/>
          </w:tcPr>
          <w:p w14:paraId="7535896E">
            <w:pPr>
              <w:spacing w:after="0"/>
              <w:ind w:firstLine="0"/>
              <w:rPr>
                <w:rFonts w:ascii="Times New Roman" w:hAnsi="Times New Roman" w:eastAsia="宋体"/>
              </w:rPr>
            </w:pPr>
            <w:r>
              <w:rPr>
                <w:rFonts w:ascii="Times New Roman" w:hAnsi="Times New Roman" w:eastAsia="宋体"/>
                <w:sz w:val="17"/>
              </w:rPr>
              <w:t>16.23%</w:t>
            </w:r>
          </w:p>
        </w:tc>
      </w:tr>
    </w:tbl>
    <w:p w14:paraId="01BD103E">
      <w:pPr>
        <w:spacing w:after="20"/>
        <w:rPr>
          <w:rFonts w:ascii="Times New Roman" w:hAnsi="Times New Roman" w:eastAsia="宋体"/>
        </w:rPr>
      </w:pPr>
    </w:p>
    <w:p w14:paraId="579E6304">
      <w:pPr>
        <w:pStyle w:val="4"/>
        <w:rPr>
          <w:rFonts w:ascii="Times New Roman" w:hAnsi="Times New Roman" w:eastAsia="宋体"/>
          <w:highlight w:val="none"/>
        </w:rPr>
      </w:pPr>
      <w:r>
        <w:rPr>
          <w:rFonts w:ascii="Times New Roman" w:hAnsi="Times New Roman" w:eastAsia="宋体"/>
          <w:color w:val="000000"/>
        </w:rPr>
        <w:t>D.4 Decode 主趋势</w:t>
      </w:r>
    </w:p>
    <w:p w14:paraId="7B0EAFA1">
      <w:pPr>
        <w:ind w:firstLine="0"/>
        <w:jc w:val="center"/>
        <w:rPr>
          <w:rFonts w:hint="eastAsia" w:ascii="Times New Roman" w:hAnsi="Times New Roman" w:eastAsia="宋体"/>
          <w:lang w:eastAsia="zh-CN"/>
        </w:rPr>
      </w:pPr>
      <w:r>
        <w:rPr>
          <w:rFonts w:ascii="Times New Roman" w:hAnsi="Times New Roman" w:eastAsia="宋体"/>
          <w:color w:val="000000"/>
        </w:rPr>
        <w:drawing>
          <wp:inline distT="0" distB="0" distL="114300" distR="114300">
            <wp:extent cx="5615940" cy="268859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16000" cy="2688985"/>
                    </a:xfrm>
                    <a:prstGeom prst="rect">
                      <a:avLst/>
                    </a:prstGeom>
                  </pic:spPr>
                </pic:pic>
              </a:graphicData>
            </a:graphic>
          </wp:inline>
        </w:drawing>
      </w:r>
    </w:p>
    <w:p w14:paraId="0EAF3DD1">
      <w:pPr>
        <w:pStyle w:val="15"/>
        <w:ind w:firstLine="0"/>
        <w:rPr>
          <w:rFonts w:ascii="Times New Roman" w:hAnsi="Times New Roman" w:eastAsia="宋体"/>
        </w:rPr>
      </w:pPr>
      <w:r>
        <w:rPr>
          <w:rFonts w:ascii="Times New Roman" w:hAnsi="Times New Roman" w:eastAsia="宋体"/>
          <w:color w:val="000000"/>
        </w:rPr>
        <w:t>图 3-</w:t>
      </w:r>
      <w:r>
        <w:rPr>
          <w:rFonts w:hint="eastAsia" w:ascii="Times New Roman" w:hAnsi="Times New Roman" w:eastAsia="宋体"/>
          <w:color w:val="000000"/>
          <w:lang w:val="en-US" w:eastAsia="zh-CN"/>
        </w:rPr>
        <w:t>3</w:t>
      </w:r>
      <w:r>
        <w:rPr>
          <w:rFonts w:ascii="Times New Roman" w:hAnsi="Times New Roman" w:eastAsia="宋体"/>
          <w:color w:val="000000"/>
        </w:rPr>
        <w:t>　双 GPU 先导矩阵的 decode A 组成端点</w:t>
      </w:r>
    </w:p>
    <w:p w14:paraId="7B87B2FA">
      <w:pPr>
        <w:rPr>
          <w:rFonts w:ascii="Times New Roman" w:hAnsi="Times New Roman" w:eastAsia="宋体"/>
        </w:rPr>
      </w:pPr>
      <w:r>
        <w:rPr>
          <w:rFonts w:ascii="Times New Roman" w:hAnsi="Times New Roman" w:eastAsia="宋体"/>
          <w:color w:val="000000"/>
        </w:rPr>
        <w:t>历史 Decode 图曾显示平台条件差异，但其身份、同步语义和数据资格不足；正式 G1 必须在冻结协议下重新采集，并允许比例、非比例、条件性或 null 结果。</w:t>
      </w:r>
    </w:p>
    <w:p w14:paraId="2A5280D0">
      <w:pPr>
        <w:pStyle w:val="4"/>
        <w:rPr>
          <w:rFonts w:ascii="Times New Roman" w:hAnsi="Times New Roman" w:eastAsia="宋体"/>
          <w:highlight w:val="none"/>
        </w:rPr>
      </w:pPr>
      <w:r>
        <w:rPr>
          <w:rFonts w:ascii="Times New Roman" w:hAnsi="Times New Roman" w:eastAsia="宋体"/>
          <w:color w:val="000000"/>
        </w:rPr>
        <w:t>D.5 B 的新分析视角</w:t>
      </w:r>
    </w:p>
    <w:p w14:paraId="1B961C90">
      <w:pPr>
        <w:rPr>
          <w:rFonts w:ascii="Times New Roman" w:hAnsi="Times New Roman" w:eastAsia="宋体"/>
        </w:rPr>
      </w:pPr>
      <w:r>
        <w:rPr>
          <w:rFonts w:ascii="Times New Roman" w:hAnsi="Times New Roman" w:eastAsia="宋体"/>
          <w:color w:val="000000"/>
        </w:rPr>
        <w:t>旧版 predecessor/gap 与 B 字段不得直接迁移为当前结论。历史 trace 只能用于检查新版 parser/S 的回归行为；只有 Measurement Contract 冻结且 validity 成立的记录，才能报告 terminal hidden/exposed provenance。</w:t>
      </w:r>
    </w:p>
    <w:p w14:paraId="45147AA6">
      <w:pPr>
        <w:rPr>
          <w:rFonts w:ascii="Times New Roman" w:hAnsi="Times New Roman" w:eastAsia="宋体"/>
        </w:rPr>
      </w:pPr>
      <w:r>
        <w:rPr>
          <w:rFonts w:ascii="Times New Roman" w:hAnsi="Times New Roman" w:eastAsia="宋体"/>
          <w:color w:val="000000"/>
        </w:rPr>
        <w:t>任何历史 gap 或 terminal 现象都只能作为诊断线索，不能命名 CPU scheduling、driver overhead、GPU queue 或其他根因；若需根因结论，必须增加独立证据。</w:t>
      </w:r>
    </w:p>
    <w:p w14:paraId="5EFCD995">
      <w:pPr>
        <w:pStyle w:val="4"/>
        <w:rPr>
          <w:rFonts w:ascii="Times New Roman" w:hAnsi="Times New Roman" w:eastAsia="宋体"/>
          <w:highlight w:val="none"/>
        </w:rPr>
      </w:pPr>
      <w:r>
        <w:rPr>
          <w:rFonts w:ascii="Times New Roman" w:hAnsi="Times New Roman" w:eastAsia="宋体"/>
          <w:color w:val="000000"/>
        </w:rPr>
        <w:t>D.6 当前可以支持的结论</w:t>
      </w:r>
    </w:p>
    <w:p w14:paraId="495399AA">
      <w:pPr>
        <w:pStyle w:val="16"/>
        <w:ind w:firstLine="0"/>
        <w:rPr>
          <w:rFonts w:ascii="Times New Roman" w:hAnsi="Times New Roman" w:eastAsia="宋体"/>
        </w:rPr>
      </w:pPr>
      <w:r>
        <w:rPr>
          <w:rFonts w:ascii="Times New Roman" w:hAnsi="Times New Roman" w:eastAsia="宋体"/>
          <w:color w:val="000000"/>
        </w:rPr>
        <w:t>历史 prototype 能生成旧版阶段墙钟和 per-sync 输出，但这不能证明其 W(s)、terminal 或 validity 符合 v1.4.1。</w:t>
      </w:r>
    </w:p>
    <w:p w14:paraId="4ED7F223">
      <w:pPr>
        <w:pStyle w:val="16"/>
        <w:ind w:firstLine="0"/>
        <w:rPr>
          <w:rFonts w:ascii="Times New Roman" w:hAnsi="Times New Roman" w:eastAsia="宋体"/>
          <w:highlight w:val="none"/>
        </w:rPr>
      </w:pPr>
      <w:r>
        <w:rPr>
          <w:rFonts w:ascii="Times New Roman" w:hAnsi="Times New Roman" w:eastAsia="宋体"/>
          <w:b w:val="0"/>
          <w:color w:val="000000"/>
        </w:rPr>
        <w:t>历史 Prefill 变化只保留为待 Formal G1 检验的候选假设，不能作为信息增量证据。</w:t>
      </w:r>
    </w:p>
    <w:p w14:paraId="4B863022">
      <w:pPr>
        <w:pStyle w:val="16"/>
        <w:ind w:firstLine="0"/>
        <w:rPr>
          <w:rFonts w:ascii="Times New Roman" w:hAnsi="Times New Roman" w:eastAsia="宋体"/>
          <w:highlight w:val="none"/>
        </w:rPr>
      </w:pPr>
      <w:r>
        <w:rPr>
          <w:rFonts w:ascii="Times New Roman" w:hAnsi="Times New Roman" w:eastAsia="宋体"/>
          <w:color w:val="000000"/>
        </w:rPr>
        <w:t>历史 Decode 平台差异只保留为候选线索，不能写成当前研究发现。</w:t>
      </w:r>
    </w:p>
    <w:p w14:paraId="37853631">
      <w:pPr>
        <w:pStyle w:val="16"/>
        <w:ind w:firstLine="0"/>
        <w:rPr>
          <w:rFonts w:ascii="Times New Roman" w:hAnsi="Times New Roman" w:eastAsia="宋体"/>
          <w:highlight w:val="none"/>
        </w:rPr>
      </w:pPr>
      <w:r>
        <w:rPr>
          <w:rFonts w:ascii="Times New Roman" w:hAnsi="Times New Roman" w:eastAsia="宋体"/>
          <w:color w:val="000000"/>
        </w:rPr>
        <w:t>历史 trace 可用于回归和选择 Q0 负例，但不能提升为 Pilot/Formal，也不能证明传统指标不足。</w:t>
      </w:r>
    </w:p>
    <w:p w14:paraId="56E8B264">
      <w:pPr>
        <w:pStyle w:val="4"/>
        <w:rPr>
          <w:rFonts w:ascii="Times New Roman" w:hAnsi="Times New Roman" w:eastAsia="宋体"/>
          <w:highlight w:val="none"/>
        </w:rPr>
      </w:pPr>
      <w:r>
        <w:rPr>
          <w:rFonts w:ascii="Times New Roman" w:hAnsi="Times New Roman" w:eastAsia="宋体"/>
          <w:color w:val="000000"/>
        </w:rPr>
        <w:t>D.7 当前不能支持的结论</w:t>
      </w:r>
    </w:p>
    <w:p w14:paraId="0E868CA9">
      <w:pPr>
        <w:pStyle w:val="16"/>
        <w:ind w:firstLine="0"/>
        <w:rPr>
          <w:rFonts w:ascii="Times New Roman" w:hAnsi="Times New Roman" w:eastAsia="宋体"/>
          <w:highlight w:val="none"/>
        </w:rPr>
      </w:pPr>
      <w:r>
        <w:rPr>
          <w:rFonts w:ascii="Times New Roman" w:hAnsi="Times New Roman" w:eastAsia="宋体"/>
          <w:color w:val="000000"/>
        </w:rPr>
        <w:t>不能把当前 5-repeat 先导数据当作最终论文显著性结果。</w:t>
      </w:r>
    </w:p>
    <w:p w14:paraId="5BCF87B4">
      <w:pPr>
        <w:pStyle w:val="16"/>
        <w:ind w:firstLine="0"/>
        <w:rPr>
          <w:rFonts w:ascii="Times New Roman" w:hAnsi="Times New Roman" w:eastAsia="宋体"/>
          <w:highlight w:val="none"/>
        </w:rPr>
      </w:pPr>
      <w:r>
        <w:rPr>
          <w:rFonts w:ascii="Times New Roman" w:hAnsi="Times New Roman" w:eastAsia="宋体"/>
          <w:color w:val="000000"/>
        </w:rPr>
        <w:t>不能把 6000 Ada 与 4090 的差异简单归因于 GPU 算力。</w:t>
      </w:r>
    </w:p>
    <w:p w14:paraId="6032606B">
      <w:pPr>
        <w:pStyle w:val="16"/>
        <w:ind w:firstLine="0"/>
        <w:rPr>
          <w:rFonts w:ascii="Times New Roman" w:hAnsi="Times New Roman" w:eastAsia="宋体"/>
          <w:highlight w:val="none"/>
        </w:rPr>
      </w:pPr>
      <w:r>
        <w:rPr>
          <w:rFonts w:ascii="Times New Roman" w:hAnsi="Times New Roman" w:eastAsia="宋体"/>
          <w:color w:val="000000"/>
        </w:rPr>
        <w:t>不能把 terminal_post_api_uncovered_gap_ms 直接称为 CPU scheduling、driver overhead 或纯 GPU queue。</w:t>
      </w:r>
    </w:p>
    <w:p w14:paraId="23735E2C">
      <w:pPr>
        <w:pStyle w:val="16"/>
        <w:ind w:firstLine="0"/>
        <w:rPr>
          <w:rFonts w:ascii="Times New Roman" w:hAnsi="Times New Roman" w:eastAsia="宋体"/>
          <w:highlight w:val="none"/>
        </w:rPr>
      </w:pPr>
      <w:r>
        <w:rPr>
          <w:rFonts w:ascii="Times New Roman" w:hAnsi="Times New Roman" w:eastAsia="宋体"/>
          <w:color w:val="000000"/>
        </w:rPr>
        <w:t>不能声称规律已经跨模型、推理引擎和端侧平台普适。</w:t>
      </w:r>
    </w:p>
    <w:p w14:paraId="1A7BA1EF">
      <w:pPr>
        <w:pStyle w:val="16"/>
        <w:ind w:firstLine="0"/>
        <w:rPr>
          <w:rFonts w:ascii="Times New Roman" w:hAnsi="Times New Roman" w:eastAsia="宋体"/>
          <w:highlight w:val="none"/>
        </w:rPr>
      </w:pPr>
      <w:r>
        <w:rPr>
          <w:rFonts w:ascii="Times New Roman" w:hAnsi="Times New Roman" w:eastAsia="宋体"/>
          <w:color w:val="000000"/>
        </w:rPr>
        <w:t>不能把 terminal_exec_total 解释为同步阻塞时间。</w:t>
      </w:r>
    </w:p>
    <w:p w14:paraId="2A4B5993">
      <w:pPr>
        <w:pStyle w:val="4"/>
        <w:rPr>
          <w:rFonts w:ascii="Times New Roman" w:hAnsi="Times New Roman" w:eastAsia="宋体"/>
          <w:highlight w:val="none"/>
        </w:rPr>
      </w:pPr>
      <w:r>
        <w:rPr>
          <w:rFonts w:ascii="Times New Roman" w:hAnsi="Times New Roman" w:eastAsia="宋体"/>
          <w:color w:val="000000"/>
        </w:rPr>
        <w:t>D.8 当前处置</w:t>
      </w:r>
    </w:p>
    <w:p w14:paraId="140306B2">
      <w:pPr>
        <w:pStyle w:val="167"/>
        <w:shd w:val="clear" w:fill="E6F3EB"/>
        <w:rPr>
          <w:rFonts w:ascii="Times New Roman" w:hAnsi="Times New Roman" w:eastAsia="宋体"/>
          <w:highlight w:val="none"/>
        </w:rPr>
      </w:pPr>
      <w:r>
        <w:rPr>
          <w:rFonts w:ascii="Times New Roman" w:hAnsi="Times New Roman" w:eastAsia="宋体"/>
          <w:b w:val="0"/>
          <w:color w:val="000000"/>
        </w:rPr>
        <w:t>历史产物已封存为 Prototype/Engineering 证据。当前唯一最高优先级是完成 Measurement Contract v0.2，随后依次构造 Q0 oracle、Canonical Raw、S 与 A/B；在 Q0 通过、平台资格和 Pilot 完成前，不采集或解释正式 N1/G1/G2。</w:t>
      </w:r>
    </w:p>
    <w:p w14:paraId="0A95119A">
      <w:pPr>
        <w:ind w:left="0" w:leftChars="0" w:firstLine="0" w:firstLineChars="0"/>
        <w:rPr>
          <w:rFonts w:ascii="Times New Roman" w:hAnsi="Times New Roman" w:eastAsia="宋体"/>
        </w:rPr>
      </w:pP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8" w:lineRule="auto"/>
      </w:pPr>
      <w:r>
        <w:separator/>
      </w:r>
    </w:p>
  </w:footnote>
  <w:footnote w:type="continuationSeparator" w:id="1">
    <w:p>
      <w:pPr>
        <w:spacing w:before="0" w:after="0" w:line="29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3387"/>
    <w:rsid w:val="0015074B"/>
    <w:rsid w:val="0029639D"/>
    <w:rsid w:val="00326F90"/>
    <w:rsid w:val="007B6480"/>
    <w:rsid w:val="00AA1D8D"/>
    <w:rsid w:val="00B47730"/>
    <w:rsid w:val="00CB0664"/>
    <w:rsid w:val="00FC693F"/>
    <w:rsid w:val="019404F8"/>
    <w:rsid w:val="01CE1437"/>
    <w:rsid w:val="02331ABF"/>
    <w:rsid w:val="02685C0C"/>
    <w:rsid w:val="067803E8"/>
    <w:rsid w:val="08EE409D"/>
    <w:rsid w:val="091D7025"/>
    <w:rsid w:val="0A4C5E14"/>
    <w:rsid w:val="0ACC2AB1"/>
    <w:rsid w:val="0B5C270C"/>
    <w:rsid w:val="0D183D8B"/>
    <w:rsid w:val="0D6B65B1"/>
    <w:rsid w:val="0E0E4C97"/>
    <w:rsid w:val="0E835B7C"/>
    <w:rsid w:val="0EDD528C"/>
    <w:rsid w:val="0F2C7FC2"/>
    <w:rsid w:val="0FBA737B"/>
    <w:rsid w:val="11423ACC"/>
    <w:rsid w:val="11477335"/>
    <w:rsid w:val="116C0567"/>
    <w:rsid w:val="117F087D"/>
    <w:rsid w:val="11BF3EC9"/>
    <w:rsid w:val="14215629"/>
    <w:rsid w:val="14F30D60"/>
    <w:rsid w:val="17C3523B"/>
    <w:rsid w:val="18DE1CFD"/>
    <w:rsid w:val="18E93EBE"/>
    <w:rsid w:val="1AD339E7"/>
    <w:rsid w:val="1ADB5329"/>
    <w:rsid w:val="1C2344FA"/>
    <w:rsid w:val="1C4701E9"/>
    <w:rsid w:val="1D434E54"/>
    <w:rsid w:val="1EB51D82"/>
    <w:rsid w:val="1F3B76DF"/>
    <w:rsid w:val="1F947BE9"/>
    <w:rsid w:val="1FC658C9"/>
    <w:rsid w:val="20322F5E"/>
    <w:rsid w:val="20DF4E94"/>
    <w:rsid w:val="21AD6D40"/>
    <w:rsid w:val="231223A3"/>
    <w:rsid w:val="2351194D"/>
    <w:rsid w:val="24457704"/>
    <w:rsid w:val="24635DDC"/>
    <w:rsid w:val="24855D52"/>
    <w:rsid w:val="26487037"/>
    <w:rsid w:val="26B20955"/>
    <w:rsid w:val="2A500BB0"/>
    <w:rsid w:val="2AB651FD"/>
    <w:rsid w:val="2AD43590"/>
    <w:rsid w:val="2B870602"/>
    <w:rsid w:val="2BE9496F"/>
    <w:rsid w:val="2C057779"/>
    <w:rsid w:val="2C444745"/>
    <w:rsid w:val="2F452CAE"/>
    <w:rsid w:val="30360848"/>
    <w:rsid w:val="3095731D"/>
    <w:rsid w:val="31302930"/>
    <w:rsid w:val="31D67BED"/>
    <w:rsid w:val="33EF15F3"/>
    <w:rsid w:val="345E3ECA"/>
    <w:rsid w:val="347D25A2"/>
    <w:rsid w:val="35FC217F"/>
    <w:rsid w:val="36E0150E"/>
    <w:rsid w:val="374455F9"/>
    <w:rsid w:val="38281CF3"/>
    <w:rsid w:val="38591578"/>
    <w:rsid w:val="388F6D48"/>
    <w:rsid w:val="396673B2"/>
    <w:rsid w:val="39AE31FE"/>
    <w:rsid w:val="39D569DC"/>
    <w:rsid w:val="3B5D4EDB"/>
    <w:rsid w:val="3B8D4555"/>
    <w:rsid w:val="3BF3486D"/>
    <w:rsid w:val="3DBF1E7D"/>
    <w:rsid w:val="3DC456E6"/>
    <w:rsid w:val="3DCB25D0"/>
    <w:rsid w:val="3E0934EC"/>
    <w:rsid w:val="3E0D342E"/>
    <w:rsid w:val="3F980BD8"/>
    <w:rsid w:val="40295CD4"/>
    <w:rsid w:val="407A208B"/>
    <w:rsid w:val="408B6047"/>
    <w:rsid w:val="41B65345"/>
    <w:rsid w:val="42072045"/>
    <w:rsid w:val="43784FA8"/>
    <w:rsid w:val="44915BF6"/>
    <w:rsid w:val="44FF0DB1"/>
    <w:rsid w:val="47E04ECA"/>
    <w:rsid w:val="47F210A1"/>
    <w:rsid w:val="47FE5A06"/>
    <w:rsid w:val="48E40C1B"/>
    <w:rsid w:val="49D547D7"/>
    <w:rsid w:val="4A5A03D8"/>
    <w:rsid w:val="4A992198"/>
    <w:rsid w:val="4B0E1D4E"/>
    <w:rsid w:val="4B94341E"/>
    <w:rsid w:val="4C6D0CF6"/>
    <w:rsid w:val="4CCF550D"/>
    <w:rsid w:val="4CDB0356"/>
    <w:rsid w:val="4CEE62DB"/>
    <w:rsid w:val="4D551EB6"/>
    <w:rsid w:val="4D785BA5"/>
    <w:rsid w:val="4E3715BC"/>
    <w:rsid w:val="4EC217CD"/>
    <w:rsid w:val="4F0973FC"/>
    <w:rsid w:val="4FE90FDC"/>
    <w:rsid w:val="50772144"/>
    <w:rsid w:val="50982C04"/>
    <w:rsid w:val="5144471C"/>
    <w:rsid w:val="51491D32"/>
    <w:rsid w:val="5156444F"/>
    <w:rsid w:val="515D758B"/>
    <w:rsid w:val="52AD4542"/>
    <w:rsid w:val="53A61A4E"/>
    <w:rsid w:val="53E55D97"/>
    <w:rsid w:val="555111B5"/>
    <w:rsid w:val="558C48E3"/>
    <w:rsid w:val="56707D61"/>
    <w:rsid w:val="56B458BB"/>
    <w:rsid w:val="56E878F7"/>
    <w:rsid w:val="5753390A"/>
    <w:rsid w:val="589A7317"/>
    <w:rsid w:val="596A6CE9"/>
    <w:rsid w:val="597731B4"/>
    <w:rsid w:val="5A421A14"/>
    <w:rsid w:val="5A81078E"/>
    <w:rsid w:val="5AFC6067"/>
    <w:rsid w:val="5B5B0FE0"/>
    <w:rsid w:val="5C0F1DCA"/>
    <w:rsid w:val="5CA95D7B"/>
    <w:rsid w:val="5CFE264B"/>
    <w:rsid w:val="5D170F36"/>
    <w:rsid w:val="5FDA449D"/>
    <w:rsid w:val="5FE1582B"/>
    <w:rsid w:val="604F32A9"/>
    <w:rsid w:val="60502261"/>
    <w:rsid w:val="605B3830"/>
    <w:rsid w:val="61113EEE"/>
    <w:rsid w:val="61364AAD"/>
    <w:rsid w:val="619743F4"/>
    <w:rsid w:val="624A3B5C"/>
    <w:rsid w:val="62683FE2"/>
    <w:rsid w:val="62A65D9D"/>
    <w:rsid w:val="631F2A00"/>
    <w:rsid w:val="65340DFB"/>
    <w:rsid w:val="65931376"/>
    <w:rsid w:val="65AC2438"/>
    <w:rsid w:val="65CB6D62"/>
    <w:rsid w:val="67582877"/>
    <w:rsid w:val="683E7CBF"/>
    <w:rsid w:val="691E364C"/>
    <w:rsid w:val="69E95A08"/>
    <w:rsid w:val="6A7774B8"/>
    <w:rsid w:val="6AAE34FD"/>
    <w:rsid w:val="6AB4441A"/>
    <w:rsid w:val="6B142F59"/>
    <w:rsid w:val="6B2D7B77"/>
    <w:rsid w:val="6B3E66B1"/>
    <w:rsid w:val="6BF568E6"/>
    <w:rsid w:val="6BFB5EC7"/>
    <w:rsid w:val="6C307C64"/>
    <w:rsid w:val="6C5D448C"/>
    <w:rsid w:val="6D8A5754"/>
    <w:rsid w:val="6E8B52E0"/>
    <w:rsid w:val="6EC66BBC"/>
    <w:rsid w:val="6F4D07E7"/>
    <w:rsid w:val="6F5953DE"/>
    <w:rsid w:val="6F8001BF"/>
    <w:rsid w:val="6FD20CED"/>
    <w:rsid w:val="71D92806"/>
    <w:rsid w:val="724203AC"/>
    <w:rsid w:val="724539F8"/>
    <w:rsid w:val="74B27FC4"/>
    <w:rsid w:val="75023E22"/>
    <w:rsid w:val="7543158E"/>
    <w:rsid w:val="760B4F58"/>
    <w:rsid w:val="7630676D"/>
    <w:rsid w:val="769F401E"/>
    <w:rsid w:val="76EB7264"/>
    <w:rsid w:val="783C3AEF"/>
    <w:rsid w:val="788C05D2"/>
    <w:rsid w:val="79C21DD2"/>
    <w:rsid w:val="79CA2CA8"/>
    <w:rsid w:val="7A1A39BC"/>
    <w:rsid w:val="7AEF195B"/>
    <w:rsid w:val="7BC40083"/>
    <w:rsid w:val="7BDD1145"/>
    <w:rsid w:val="7C4F3DF1"/>
    <w:rsid w:val="7C662EE9"/>
    <w:rsid w:val="7C8B2109"/>
    <w:rsid w:val="7D641B1E"/>
    <w:rsid w:val="7E590F57"/>
    <w:rsid w:val="7FF32C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98" w:lineRule="auto"/>
      <w:ind w:firstLine="420"/>
    </w:pPr>
    <w:rPr>
      <w:rFonts w:ascii="Times New Roman" w:hAnsi="Times New Roman" w:eastAsia="宋体" w:cstheme="minorBidi"/>
      <w:sz w:val="20"/>
      <w:szCs w:val="22"/>
      <w:lang w:val="en-US" w:eastAsia="en-US" w:bidi="ar-SA"/>
    </w:rPr>
  </w:style>
  <w:style w:type="paragraph" w:styleId="3">
    <w:name w:val="heading 1"/>
    <w:basedOn w:val="1"/>
    <w:next w:val="1"/>
    <w:link w:val="140"/>
    <w:qFormat/>
    <w:uiPriority w:val="9"/>
    <w:pPr>
      <w:keepNext/>
      <w:keepLines/>
      <w:spacing w:before="240" w:after="140"/>
      <w:outlineLvl w:val="0"/>
    </w:pPr>
    <w:rPr>
      <w:rFonts w:asciiTheme="majorHAnsi" w:hAnsiTheme="majorHAnsi" w:eastAsiaTheme="majorEastAsia" w:cstheme="majorBidi"/>
      <w:b/>
      <w:bCs/>
      <w:color w:val="000000"/>
      <w:sz w:val="34"/>
      <w:szCs w:val="28"/>
    </w:rPr>
  </w:style>
  <w:style w:type="paragraph" w:styleId="4">
    <w:name w:val="heading 2"/>
    <w:basedOn w:val="1"/>
    <w:next w:val="1"/>
    <w:link w:val="141"/>
    <w:unhideWhenUsed/>
    <w:qFormat/>
    <w:uiPriority w:val="9"/>
    <w:pPr>
      <w:keepNext/>
      <w:keepLines/>
      <w:spacing w:before="180" w:after="100"/>
      <w:outlineLvl w:val="1"/>
    </w:pPr>
    <w:rPr>
      <w:rFonts w:asciiTheme="majorHAnsi" w:hAnsiTheme="majorHAnsi" w:eastAsiaTheme="majorEastAsia" w:cstheme="majorBidi"/>
      <w:b/>
      <w:bCs/>
      <w:color w:val="000000"/>
      <w:sz w:val="27"/>
      <w:szCs w:val="26"/>
    </w:rPr>
  </w:style>
  <w:style w:type="paragraph" w:styleId="5">
    <w:name w:val="heading 3"/>
    <w:basedOn w:val="1"/>
    <w:next w:val="1"/>
    <w:link w:val="142"/>
    <w:unhideWhenUsed/>
    <w:qFormat/>
    <w:uiPriority w:val="9"/>
    <w:pPr>
      <w:keepNext/>
      <w:keepLines/>
      <w:spacing w:before="140" w:after="60"/>
      <w:outlineLvl w:val="2"/>
    </w:pPr>
    <w:rPr>
      <w:rFonts w:asciiTheme="majorHAnsi" w:hAnsiTheme="majorHAnsi" w:eastAsiaTheme="majorEastAsia" w:cstheme="majorBidi"/>
      <w:b/>
      <w:bCs/>
      <w:color w:val="000000"/>
      <w:sz w:val="23"/>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jc w:val="center"/>
    </w:pPr>
    <w:rPr>
      <w:rFonts w:ascii="Noto Sans CJK SC" w:hAnsi="Noto Sans CJK SC" w:eastAsia="Noto Sans CJK SC"/>
      <w:b/>
      <w:bCs/>
      <w:i/>
      <w:color w:val="555555"/>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pPr>
      <w:keepNext/>
      <w:spacing w:before="0" w:after="200"/>
    </w:pPr>
    <w:rPr>
      <w:rFonts w:asciiTheme="majorHAnsi" w:hAnsiTheme="majorHAnsi" w:eastAsiaTheme="majorEastAsia" w:cstheme="majorBidi"/>
      <w:b/>
      <w:i/>
      <w:iCs/>
      <w:color w:val="000000"/>
      <w:spacing w:val="15"/>
      <w:sz w:val="28"/>
      <w:szCs w:val="24"/>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keepNext/>
      <w:pBdr>
        <w:bottom w:val="single" w:color="4F81BD" w:themeColor="accent1" w:sz="8" w:space="4"/>
      </w:pBdr>
      <w:spacing w:before="0" w:after="280" w:line="240" w:lineRule="auto"/>
      <w:contextualSpacing/>
    </w:pPr>
    <w:rPr>
      <w:rFonts w:asciiTheme="majorHAnsi" w:hAnsiTheme="majorHAnsi" w:eastAsiaTheme="majorEastAsia" w:cstheme="majorBidi"/>
      <w:b/>
      <w:color w:val="000000"/>
      <w:spacing w:val="5"/>
      <w:kern w:val="28"/>
      <w:sz w:val="54"/>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Callout"/>
    <w:qFormat/>
    <w:uiPriority w:val="0"/>
    <w:pPr>
      <w:spacing w:before="100" w:after="120" w:line="276" w:lineRule="auto"/>
      <w:ind w:left="255" w:right="198" w:firstLine="0"/>
    </w:pPr>
    <w:rPr>
      <w:rFonts w:ascii="Noto Sans CJK SC" w:hAnsi="Noto Sans CJK SC" w:eastAsia="Noto Sans CJK SC" w:cstheme="minorBidi"/>
      <w:color w:val="19375A"/>
      <w:sz w:val="20"/>
      <w:szCs w:val="22"/>
      <w:lang w:val="en-US" w:eastAsia="en-US" w:bidi="ar-SA"/>
    </w:rPr>
  </w:style>
  <w:style w:type="paragraph" w:customStyle="1" w:styleId="167">
    <w:name w:val="Decision"/>
    <w:qFormat/>
    <w:uiPriority w:val="0"/>
    <w:pPr>
      <w:spacing w:before="100" w:after="120" w:line="276" w:lineRule="auto"/>
      <w:ind w:left="255" w:right="198" w:firstLine="0"/>
    </w:pPr>
    <w:rPr>
      <w:rFonts w:ascii="Noto Sans CJK SC" w:hAnsi="Noto Sans CJK SC" w:eastAsia="Noto Sans CJK SC" w:cstheme="minorBidi"/>
      <w:color w:val="1C5C3E"/>
      <w:sz w:val="20"/>
      <w:szCs w:val="22"/>
      <w:lang w:val="en-US" w:eastAsia="en-US" w:bidi="ar-SA"/>
    </w:rPr>
  </w:style>
  <w:style w:type="paragraph" w:customStyle="1" w:styleId="168">
    <w:name w:val="Warning"/>
    <w:qFormat/>
    <w:uiPriority w:val="0"/>
    <w:pPr>
      <w:spacing w:before="100" w:after="120" w:line="276" w:lineRule="auto"/>
      <w:ind w:left="255" w:right="198" w:firstLine="0"/>
    </w:pPr>
    <w:rPr>
      <w:rFonts w:ascii="Noto Sans CJK SC" w:hAnsi="Noto Sans CJK SC" w:eastAsia="Noto Sans CJK SC" w:cstheme="minorBidi"/>
      <w:color w:val="784B0A"/>
      <w:sz w:val="20"/>
      <w:szCs w:val="22"/>
      <w:lang w:val="en-US" w:eastAsia="en-US" w:bidi="ar-SA"/>
    </w:rPr>
  </w:style>
  <w:style w:type="paragraph" w:customStyle="1" w:styleId="169">
    <w:name w:val="Formula"/>
    <w:qFormat/>
    <w:uiPriority w:val="0"/>
    <w:pPr>
      <w:spacing w:before="100" w:after="120" w:line="276" w:lineRule="auto"/>
      <w:ind w:left="255" w:right="198" w:firstLine="0"/>
    </w:pPr>
    <w:rPr>
      <w:rFonts w:ascii="Noto Sans CJK SC" w:hAnsi="Noto Sans CJK SC" w:eastAsia="Noto Sans CJK SC" w:cstheme="minorBidi"/>
      <w:color w:val="232323"/>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4784</Words>
  <Characters>8499</Characters>
  <Lines>0</Lines>
  <Paragraphs>0</Paragraphs>
  <TotalTime>77</TotalTime>
  <ScaleCrop>false</ScaleCrop>
  <LinksUpToDate>false</LinksUpToDate>
  <CharactersWithSpaces>9253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v1.4.1 已吸收；实验状态仍为 Engineering/Pre-Pilot。</dc:description>
  <cp:keywords>ExposedPath, LLM inference, CUDA synchronization, latency accounting, measurement, characterization</cp:keywords>
  <cp:lastModifiedBy>叶刘强</cp:lastModifiedBy>
  <dcterms:modified xsi:type="dcterms:W3CDTF">2026-08-11T13:40:14Z</dcterms:modified>
  <dc:subject>依据 v1.4.1 完整整合修订的当前研究设计主体</dc:subject>
  <dc:title>ExposedPath 研究设计与论文证据框架 v7.0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eyJoZGlkIjoiMDY5NmFjMmM4ZTljMGJiZDAxN2JmYTc0NGI0NmFiNDgiLCJ1c2VySWQiOiIxNzY3MDY1NTEwIn0=</vt:lpwstr>
  </property>
  <property fmtid="{D5CDD505-2E9C-101B-9397-08002B2CF9AE}" pid="3" name="KSOProductBuildVer">
    <vt:lpwstr>2052-12.1.0.26895</vt:lpwstr>
  </property>
  <property fmtid="{D5CDD505-2E9C-101B-9397-08002B2CF9AE}" pid="4" name="ICV">
    <vt:lpwstr>A6CD017F8B144B469D642406648DE124_12</vt:lpwstr>
  </property>
</Properties>
</file>