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95EC1">
      <w:pPr>
        <w:pStyle w:val="32"/>
        <w:spacing w:before="150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60"/>
        </w:rPr>
        <w:t>ExposedPath</w:t>
      </w:r>
    </w:p>
    <w:p w14:paraId="7B1B814C">
      <w:pPr>
        <w:pStyle w:val="26"/>
        <w:jc w:val="center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LLM 推理请求可见暴露研究设计</w:t>
      </w:r>
    </w:p>
    <w:p w14:paraId="25F28761">
      <w:pPr>
        <w:ind w:firstLine="0"/>
        <w:jc w:val="center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当前研究设计主体</w:t>
      </w:r>
    </w:p>
    <w:p w14:paraId="7352626F">
      <w:pPr>
        <w:ind w:firstLine="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研究对象：单 GPU、请求内部、纯模型推理的 Host–accelerator request-visible exposure</w:t>
      </w:r>
    </w:p>
    <w:p w14:paraId="17E132A6">
      <w:pPr>
        <w:rPr>
          <w:rFonts w:ascii="Times New Roman" w:hAnsi="Times New Roman" w:eastAsia="宋体"/>
        </w:rPr>
      </w:pPr>
    </w:p>
    <w:p w14:paraId="5D3BE2D1">
      <w:pPr>
        <w:pStyle w:val="167"/>
        <w:shd w:val="clear" w:fill="E6F3EB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版本定位：本文件已经逐章归并 v1.4.1 的研究背景、研究立意、测量语义、信息增量、决策增量与执行路线，作为当前研究设计主体。方法链固定为 Raw→S→{A,B}→D/Exposure Signature。具体执行合同由《ExposedPath 实验协议》承接；当前代码和历史 trace 只表示 Prototype/Engineering 事实。</w:t>
      </w:r>
    </w:p>
    <w:p w14:paraId="2B4C01F8">
      <w:pPr>
        <w:ind w:firstLine="0"/>
        <w:jc w:val="center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版本：v7.1　日期：2026 年 9 月 10 日　状态：当前研究设计主体</w:t>
      </w:r>
    </w:p>
    <w:p w14:paraId="5D43AD90">
      <w:pPr>
        <w:pStyle w:val="167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v1.4.1 整合结论：Activity Cost 不等于 Request-Visible Exposure；S 层必须依据 synchronization/completion semantics 恢复完整语义前驱集合 W(s)、terminal 证据与 validity，时间重叠本身不能证明 dependency；研究证据按 Correctness→Information Gain→Decision Gain 逐级建立。</w:t>
      </w:r>
    </w:p>
    <w:p w14:paraId="453964F6">
      <w:pPr>
        <w:ind w:firstLine="0"/>
        <w:jc w:val="center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平台边界：当前方法以单 GPU、请求内部 Host–device execution domain 为核心；RTX 4090、RTX 6000 Ada 及其他 GPU 均须先通过正式平台资格检查，不能在 Pre-Pilot 阶段写成已冻结主平台。</w:t>
      </w:r>
    </w:p>
    <w:p w14:paraId="6A3E77D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br w:type="page"/>
      </w:r>
    </w:p>
    <w:p w14:paraId="1E2B839D">
      <w:pPr>
        <w:bidi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贡献一：方法候选。提出 ExposedPath，通过同步完成语义把 Raw trace 转换为可审计的 W(s)、terminal 与 validity，并在此基础上形成 request/phase 互斥墙钟 accounting 和 per-sync provenance；该贡献只有在 Q0 通过后才能表述为已验证方法。</w:t>
      </w:r>
    </w:p>
    <w:p w14:paraId="6C706DCE">
      <w:pPr>
        <w:bidi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贡献二：信息增量候选。通过 N1 与 G1 检验传统 activity 指标与 request-visible exposure 在哪些条件下近似等价、稳定非等价或依赖执行区间变化；结果可以是比例、非比例、条件性或 null，主张随证据收缩。</w:t>
      </w:r>
    </w:p>
    <w:p w14:paraId="229AD712">
      <w:pPr>
        <w:bidi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贡献三：决策增量候选。通过 G2 的预注册真实优化与 held-out 比较，检验 Exposure Signature 是否相对传统指标增加优化解释或优先级信息；若无增量，只保留正确性与信息边界，不声称优化预测或决策优势。</w:t>
      </w:r>
    </w:p>
    <w:p w14:paraId="551EA018">
      <w:pPr>
        <w:bidi w:val="0"/>
        <w:rPr>
          <w:rFonts w:ascii="Times New Roman" w:hAnsi="Times New Roman" w:eastAsia="宋体"/>
        </w:rPr>
      </w:pPr>
    </w:p>
    <w:p w14:paraId="44F0E199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目录</w:t>
      </w:r>
    </w:p>
    <w:p w14:paraId="191A5F26">
      <w:pPr>
        <w:ind w:left="283"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第一章　学术背景、核心问题、研究缺口与实验框架</w:t>
      </w:r>
    </w:p>
    <w:p w14:paraId="248E7253">
      <w:pPr>
        <w:ind w:left="283"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第二章　测量边界、Raw/S/A/B 建模与指标体系</w:t>
      </w:r>
    </w:p>
    <w:p w14:paraId="75D3D9F1">
      <w:pPr>
        <w:ind w:left="283"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第三章　研究路线、论文证据链与 Artifact</w:t>
      </w:r>
    </w:p>
    <w:p w14:paraId="0F0AA168">
      <w:pPr>
        <w:ind w:left="283"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第四章　最终贡献、CCF-A 证据要求、风险与扩展</w:t>
      </w:r>
    </w:p>
    <w:p w14:paraId="2CC38CF9">
      <w:pPr>
        <w:ind w:left="283"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附录 A　核心指标字典</w:t>
      </w:r>
    </w:p>
    <w:p w14:paraId="68092EB5">
      <w:pPr>
        <w:ind w:left="283"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附录 B　正确性合同与 Claim—实验映射</w:t>
      </w:r>
    </w:p>
    <w:p w14:paraId="56750B46">
      <w:pPr>
        <w:ind w:left="283"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附录 C　参考工作与技术依据</w:t>
      </w:r>
    </w:p>
    <w:p w14:paraId="6B04A599">
      <w:pPr>
        <w:ind w:left="283"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附录 D　先导结果与方向性证据（不得进入正式统计）</w:t>
      </w:r>
    </w:p>
    <w:p w14:paraId="2022167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br w:type="page"/>
      </w:r>
    </w:p>
    <w:p w14:paraId="5260B7B4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第一章　学术背景、核心问题、研究缺口与实验框架</w:t>
      </w:r>
    </w:p>
    <w:p w14:paraId="74995C26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1.1 研究背景：用户可见时延来自异步 Host–Accelerator 协作</w:t>
      </w:r>
    </w:p>
    <w:p w14:paraId="43F52F01">
      <w:pPr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color w:val="000000"/>
        </w:rPr>
        <w:t>交互式 LLM 推理的用户感受首先体现在 request latency、Prefill latency、Decode latency 和逐 Token 生成速度。但一次模型推理并不是一串彼此孤立的 GPU kernel。Host 侧的框架与控制路径持续推进程序逻辑并提交 CUDA 工作，GPU 异步执行 kernel 和 MemOp，两侧可以重叠推进，最后在 synchronization/completion boundary 上汇合。因此，纯模型推理本身就是时延敏感的异步 Host–accelerator 执行系统。理解用户可见时延，需要解释这条协作链如何形成 request/phase wall-clock。</w:t>
      </w:r>
    </w:p>
    <w:p w14:paraId="632600F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Nsight Systems、CUPTI 等工具能够可靠报告 kernel duration、GPU active/utilization、CUDA API duration、raw synchronization duration、API/kernel count 和 launch-to-start 等执行事实。这些事实描述 Activity Cost，即系统做了多少工作；它们不等于 Request-Visible Exposure，即这些异步工作中有多少真正暴露到请求或阶段墙钟。长 kernel 可能在 Host 开始等待前已完成大部分执行，长 sync 也可能只是等待边界发生迁移。ExposedPath 要解决的核心矛盾是 Activity Cost 不等于 Request-Visible Exposure。</w:t>
      </w:r>
      <w:r>
        <w:rPr>
          <w:rFonts w:hint="eastAsia" w:ascii="Times New Roman" w:hAnsi="Times New Roman" w:eastAsia="宋体"/>
          <w:color w:val="000000"/>
          <w:lang w:eastAsia="zh-CN"/>
        </w:rPr>
      </w:r>
      <w:r>
        <w:rPr>
          <w:rFonts w:ascii="Times New Roman" w:hAnsi="Times New Roman" w:eastAsia="宋体"/>
          <w:color w:val="000000"/>
        </w:rPr>
      </w:r>
    </w:p>
    <w:p w14:paraId="0A02B4BE">
      <w:pPr>
        <w:pStyle w:val="5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1.1.1 传统性能指标与 ExposedPath 的测量对象</w:t>
      </w:r>
    </w:p>
    <w:p w14:paraId="5164D3EA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传统 trace 和 profiler 主要回答发生了哪些活动、哪里耗时以及设备是否繁忙。ExposedPath 在这些事实之上增加一层同步语义解释：哪些活动属于某次同步返回前必须完成的集合，它们有多少已经隐藏完成，有多少真正暴露为 request/phase 的设备等待。下表说明两类测量对象的关系。</w:t>
      </w:r>
    </w:p>
    <w:tbl>
      <w:tblPr>
        <w:tblStyle w:val="3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2390"/>
        <w:gridCol w:w="2488"/>
        <w:gridCol w:w="2450"/>
      </w:tblGrid>
      <w:tr w14:paraId="31FA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  <w:shd w:val="clear"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常见 trace 或 profiler 观察</w:t>
            </w:r>
          </w:p>
        </w:tc>
        <w:tc>
          <w:tcPr>
            <w:tcW w:w="2390" w:type="dxa"/>
            <w:vAlign w:val="center"/>
            <w:shd w:val="clear"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通常回答的问题</w:t>
            </w:r>
          </w:p>
        </w:tc>
        <w:tc>
          <w:tcPr>
            <w:tcW w:w="0" w:type="auto"/>
            <w:vAlign w:val="center"/>
            <w:shd w:val="clear"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ExposedPath 增加的问题</w:t>
            </w:r>
          </w:p>
        </w:tc>
        <w:tc>
          <w:tcPr>
            <w:tcW w:w="2450" w:type="dxa"/>
            <w:vAlign w:val="center"/>
            <w:shd w:val="clear"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严格解释边界</w:t>
            </w:r>
          </w:p>
        </w:tc>
      </w:tr>
      <w:tr w14:paraId="78AE3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  <w:shd w:val="clear" w:fill="FFFFFF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kernel duration / hotspot</w:t>
            </w:r>
          </w:p>
        </w:tc>
        <w:tc>
          <w:tcPr>
            <w:tcW w:w="2390" w:type="dxa"/>
            <w:vAlign w:val="center"/>
            <w:shd w:val="clear" w:fill="FFFFFF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哪个 kernel 执行最长、热点在哪里</w:t>
            </w:r>
          </w:p>
        </w:tc>
        <w:tc>
          <w:tcPr>
            <w:tcW w:w="0" w:type="auto"/>
            <w:vAlign w:val="center"/>
            <w:shd w:val="clear" w:fill="FFFFFF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该 activity 有多少属于 W(s)，多少真正暴露为设备等待</w:t>
            </w:r>
          </w:p>
        </w:tc>
        <w:tc>
          <w:tcPr>
            <w:tcW w:w="2450" w:type="dxa"/>
            <w:vAlign w:val="center"/>
            <w:shd w:val="clear" w:fill="FFFFFF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完整 kernel duration 不是延迟贡献</w:t>
            </w:r>
          </w:p>
        </w:tc>
      </w:tr>
      <w:tr w14:paraId="0161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  <w:shd w:val="clear" w:fill="F5F8FA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GPU active / utilization</w:t>
            </w:r>
          </w:p>
        </w:tc>
        <w:tc>
          <w:tcPr>
            <w:tcW w:w="2390" w:type="dxa"/>
            <w:vAlign w:val="center"/>
            <w:shd w:val="clear" w:fill="F5F8FA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GPU 是否繁忙、设备工作量是否增加</w:t>
            </w:r>
          </w:p>
        </w:tc>
        <w:tc>
          <w:tcPr>
            <w:tcW w:w="0" w:type="auto"/>
            <w:vAlign w:val="center"/>
            <w:shd w:val="clear" w:fill="F5F8FA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设备工作有多少最终进入 request/phase 的 A_device_wait</w:t>
            </w:r>
          </w:p>
        </w:tc>
        <w:tc>
          <w:tcPr>
            <w:tcW w:w="2450" w:type="dxa"/>
            <w:vAlign w:val="center"/>
            <w:shd w:val="clear" w:fill="F5F8FA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繁忙不等于用户正在等待</w:t>
            </w:r>
          </w:p>
        </w:tc>
      </w:tr>
      <w:tr w14:paraId="1D561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raw sync duration</w:t>
            </w:r>
          </w:p>
        </w:tc>
        <w:tc>
          <w:tcPr>
            <w:tcW w:w="2390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某个同步 API 在 Host 上持续多久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它等待哪些 W(s)，terminal 是谁，等待是新增还是迁移</w:t>
            </w:r>
          </w:p>
        </w:tc>
        <w:tc>
          <w:tcPr>
            <w:tcW w:w="2450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局部 sync duration 不自动等于新增 E2E</w:t>
            </w:r>
          </w:p>
        </w:tc>
      </w:tr>
      <w:tr w14:paraId="1998B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4" w:type="dxa"/>
            <w:vAlign w:val="center"/>
            <w:shd w:val="clear" w:fill="F5F8FA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API/kernel count、launch-to-start</w:t>
            </w:r>
          </w:p>
        </w:tc>
        <w:tc>
          <w:tcPr>
            <w:tcW w:w="2390" w:type="dxa"/>
            <w:vAlign w:val="center"/>
            <w:shd w:val="clear" w:fill="F5F8FA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提交密度、启动或排队现象如何</w:t>
            </w:r>
          </w:p>
        </w:tc>
        <w:tc>
          <w:tcPr>
            <w:tcW w:w="2488" w:type="dxa"/>
            <w:vAlign w:val="center"/>
            <w:shd w:val="clear" w:fill="F5F8FA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这些活动在互斥请求墙钟中占多少，是否形成暴露</w:t>
            </w:r>
          </w:p>
        </w:tc>
        <w:tc>
          <w:tcPr>
            <w:tcW w:w="2450" w:type="dxa"/>
            <w:vAlign w:val="center"/>
            <w:shd w:val="clear" w:fill="F5F8FA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时间重叠和 correlation 不能单独证明 dependency</w:t>
            </w:r>
          </w:p>
        </w:tc>
      </w:tr>
    </w:tbl>
    <w:p w14:paraId="375388F1">
      <w:pPr>
        <w:pStyle w:val="4"/>
        <w:pageBreakBefore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1.2 现有研究脉络与 ExposedPath 的位置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93"/>
        <w:gridCol w:w="2500"/>
        <w:gridCol w:w="2472"/>
      </w:tblGrid>
      <w:tr w14:paraId="29D2B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B7564F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研究脉络</w:t>
            </w:r>
          </w:p>
        </w:tc>
        <w:tc>
          <w:tcPr>
            <w:tcW w:w="1793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933002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代表工作</w:t>
            </w:r>
          </w:p>
        </w:tc>
        <w:tc>
          <w:tcPr>
            <w:tcW w:w="250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BF11BA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解决的问题</w:t>
            </w:r>
          </w:p>
        </w:tc>
        <w:tc>
          <w:tcPr>
            <w:tcW w:w="2472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40418D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仍留下的空白</w:t>
            </w:r>
          </w:p>
        </w:tc>
      </w:tr>
      <w:tr w14:paraId="378F8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8E1637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LLM serving</w:t>
            </w:r>
          </w:p>
        </w:tc>
        <w:tc>
          <w:tcPr>
            <w:tcW w:w="17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60472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vLLM/PagedAttention、Pensieve 等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16FA7F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KV cache、批处理、状态复用和吞吐</w:t>
            </w:r>
          </w:p>
        </w:tc>
        <w:tc>
          <w:tcPr>
            <w:tcW w:w="2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6A79C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不提供同步语义感知的 request wall-clock 归因</w:t>
            </w:r>
          </w:p>
        </w:tc>
      </w:tr>
      <w:tr w14:paraId="656FB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FA9F90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跨栈 profiling</w:t>
            </w:r>
          </w:p>
        </w:tc>
        <w:tc>
          <w:tcPr>
            <w:tcW w:w="1793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F530C8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XSP、RL-Scope</w:t>
            </w:r>
          </w:p>
        </w:tc>
        <w:tc>
          <w:tcPr>
            <w:tcW w:w="250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549879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把框架操作与 CPU/GPU trace 对齐；修正 profiling overhead</w:t>
            </w:r>
          </w:p>
        </w:tc>
        <w:tc>
          <w:tcPr>
            <w:tcW w:w="24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843C92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通常不是互斥墙钟记账，也不恢复 sync wait set</w:t>
            </w:r>
          </w:p>
        </w:tc>
      </w:tr>
      <w:tr w14:paraId="6FC37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0A3A66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预测/因果 profiling</w:t>
            </w:r>
          </w:p>
        </w:tc>
        <w:tc>
          <w:tcPr>
            <w:tcW w:w="17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80C964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Coz、Daydream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23D75C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估计优化潜力或模拟优化效果</w:t>
            </w:r>
          </w:p>
        </w:tc>
        <w:tc>
          <w:tcPr>
            <w:tcW w:w="2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5D4DB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需要运行时干预或依赖图；不是本项目的必要前提</w:t>
            </w:r>
          </w:p>
        </w:tc>
      </w:tr>
      <w:tr w14:paraId="3DAAD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ABA212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CPU-GPU coupling</w:t>
            </w:r>
          </w:p>
        </w:tc>
        <w:tc>
          <w:tcPr>
            <w:tcW w:w="1793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05A3E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SKIP/TKLQT</w:t>
            </w:r>
          </w:p>
        </w:tc>
        <w:tc>
          <w:tcPr>
            <w:tcW w:w="250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2260E3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用 launch+queue 指标识别 CPU/GPU-bound 转换</w:t>
            </w:r>
          </w:p>
        </w:tc>
        <w:tc>
          <w:tcPr>
            <w:tcW w:w="24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D0EC3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聚合 queue 指标难区分 sync 内设备执行、Host path 与 residual</w:t>
            </w:r>
          </w:p>
        </w:tc>
      </w:tr>
      <w:tr w14:paraId="2DE21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25881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LLM phase profiler</w:t>
            </w:r>
          </w:p>
        </w:tc>
        <w:tc>
          <w:tcPr>
            <w:tcW w:w="17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A6CC66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lm-Meter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AF8AD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端侧 embedding/prefill/decode/kernel latency</w:t>
            </w:r>
          </w:p>
        </w:tc>
        <w:tc>
          <w:tcPr>
            <w:tcW w:w="2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2A5685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平台与实现专用；不是基于 CUDA sync 语义的守恒记账</w:t>
            </w:r>
          </w:p>
        </w:tc>
      </w:tr>
      <w:tr w14:paraId="54BE3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8113E8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Host overhead decomposition</w:t>
            </w:r>
          </w:p>
        </w:tc>
        <w:tc>
          <w:tcPr>
            <w:tcW w:w="1793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B702B2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TaxBreak</w:t>
            </w:r>
          </w:p>
        </w:tc>
        <w:tc>
          <w:tcPr>
            <w:tcW w:w="250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519F2D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framework/library/launch-path 与 Host-Device Balance</w:t>
            </w:r>
          </w:p>
        </w:tc>
        <w:tc>
          <w:tcPr>
            <w:tcW w:w="24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39D345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聚焦 Host orchestration；与同步等待集合及 per-sync provenance 互补</w:t>
            </w:r>
          </w:p>
        </w:tc>
      </w:tr>
      <w:tr w14:paraId="20120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D7CD20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通用 GPU 工具</w:t>
            </w:r>
          </w:p>
        </w:tc>
        <w:tc>
          <w:tcPr>
            <w:tcW w:w="17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439F3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Nsight Systems/CUPTI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6E93D3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提供高精度 API、kernel、sync 与 correlation 事实</w:t>
            </w:r>
          </w:p>
        </w:tc>
        <w:tc>
          <w:tcPr>
            <w:tcW w:w="2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59E752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工具输出是事件，不等于可加和的关键路径解释</w:t>
            </w:r>
          </w:p>
        </w:tc>
      </w:tr>
    </w:tbl>
    <w:p w14:paraId="0E9C095D">
      <w:pPr>
        <w:spacing w:after="20"/>
        <w:rPr>
          <w:rFonts w:ascii="Times New Roman" w:hAnsi="Times New Roman" w:eastAsia="宋体"/>
        </w:rPr>
      </w:pPr>
      <w:r>
        <w:rPr>
          <w:color w:val="000000"/>
        </w:rPr>
        <w:t>已有研究分别解释 GPU 硬件与 kernel 行为、CPU–GPU 提交和排队、跨栈 profiling、LLM 阶段时延以及 serving 优化。这些工作为 ExposedPath 提供 Raw facts、硬件解释和系统背景，但尚未把异步 activity 按 CUDA synchronization/completion semantics 映射为互斥、守恒且可审计的 request-visible exposure。ExposedPath 补的是这一测量层，不替代 Nsight Compute、serving engine 或既有优化方法。</w:t>
      </w:r>
    </w:p>
    <w:p w14:paraId="31B48FB4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1.3 核心学术缺口：Activity 到 Exposure 之间缺少可验证映射</w:t>
      </w:r>
    </w:p>
    <w:p w14:paraId="61194677">
      <w:pPr>
        <w:pStyle w:val="16"/>
        <w:ind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缺口 1：Activity Cost 与 Request-Visible Exposure 是不同测量对象。完整 kernel/API/sync duration、利用率或事件数量不能直接解释 request/phase 墙钟。</w:t>
      </w:r>
    </w:p>
    <w:p w14:paraId="5305ED41">
      <w:pPr>
        <w:pStyle w:val="16"/>
        <w:ind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缺口 2：Temporal overlap 不等于 synchronization dependency。Stream、device/context 和 event synchronization 的 completion condition 不同，不能仅凭时间重叠判断谁在等待谁。</w:t>
      </w:r>
    </w:p>
    <w:p w14:paraId="7F3FB127">
      <w:pPr>
        <w:pStyle w:val="16"/>
        <w:ind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缺口 3：Raw trace 只提供执行事实，仍需 S 层恢复 W(s)、terminal 和 validity。缺少 identity、ownership、提交顺序或 completion evidence 时，分析必须 fail closed。</w:t>
      </w:r>
    </w:p>
    <w:p w14:paraId="40140551">
      <w:pPr>
        <w:pStyle w:val="16"/>
        <w:ind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缺口 4：完整 request/phase accounting 与单次同步 provenance 回答不同问题。A 需要互斥并守恒于墙钟，B 只解释单次同步的 hidden progress、sync-overlap、terminal 和 return tail，不能跨同步直接求和。</w:t>
      </w:r>
    </w:p>
    <w:p w14:paraId="28A1E163">
      <w:pPr>
        <w:pStyle w:val="16"/>
        <w:ind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缺口 5：现有指标是否足够不能靠预设判断。需要在冻结 workload 和 phase 下检验 activity 与 exposure 是近似成比例、稳定非成比例、随执行区间变化，还是基本等价。</w:t>
      </w:r>
    </w:p>
    <w:p w14:paraId="4463ED3D">
      <w:pPr>
        <w:pStyle w:val="1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缺口 6：测量信息只有在改变解释或决策时才形成更强系统价值。需要用真实、预注册的优化干预检验 Exposure Signature 是否相对传统指标增加 held-out 决策信息。</w:t>
      </w:r>
    </w:p>
    <w:p w14:paraId="5AD27A34">
      <w:pPr>
        <w:pStyle w:val="1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缺口 7：正确性、信息增量和决策增量必须分层取证。后层结果不能补偿错误的同步语义，也不能根据正式结果反向修改指标、工作负载或主张。</w:t>
      </w:r>
    </w:p>
    <w:p w14:paraId="5B711E59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1.4 ExposedPath 的研究立意与贡献边界</w:t>
      </w:r>
    </w:p>
    <w:p>
      <w:pPr>
        <w:pStyle w:val="167"/>
      </w:pPr>
      <w:r>
        <w:rPr>
          <w:color w:val="000000"/>
        </w:rPr>
        <w:t>核心问题：在延迟敏感、异步 LLM 推理中，Host 与 GPU 完成了多少活动，与其中多少通过 synchronization/completion dependency 暴露到 request/Prefill/Decode wall-clock，并不是同一个测量对象。ExposedPath 测量后者。</w:t>
      </w:r>
    </w:p>
    <w:p>
      <w:pPr/>
      <w:r>
        <w:rPr>
          <w:color w:val="000000"/>
        </w:rPr>
        <w:t>研究意义：常规 activity 指标可能在某些执行区间足以代表 exposure，也可能出现稳定非同比或区间依赖关系。ExposedPath 不预设答案，而是提供可审计的测量方法，确定两者何时等价、何时失配以及失配由什么同步机制形成。</w:t>
      </w:r>
    </w:p>
    <w:p>
      <w:pPr/>
      <w:r>
        <w:rPr>
          <w:color w:val="000000"/>
        </w:rPr>
        <w:t>Single GPU 自然构成当前基础执行域，因为一次请求已经包含 Host 控制、CUDA 提交、异步 GPU 执行、重叠、同步依赖、hidden progress 与 exposed wait。多 GPU 和在线 serving 会另外引入通信、排队、调度和共享 ownership，需要扩展 S 层语义；它们不是证明当前核心问题成立的前提。</w:t>
      </w:r>
    </w:p>
    <w:p>
      <w:pPr/>
      <w:r>
        <w:rPr>
          <w:color w:val="000000"/>
        </w:rPr>
        <w:t>核心贡献边界限定为单 GPU、请求内部的 Host–device exposure。多 GPU、分布式 serving、并发 ownership、硬件因果归因和通用性能预测均不在当前 claim 内。</w:t>
      </w:r>
    </w:p>
    <w:p w14:paraId="2E523E68">
      <w:pPr>
        <w:pStyle w:val="167"/>
        <w:shd w:val="clear" w:fill="E6F3EB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</w:rPr>
        <w:t>ExposedPath 不是新的 serving engine，也不是恢复全部 CUDA 因果关系的通用 profiler。它是一种 trace-driven measurement methodology：先根据同步完成语义恢复 W(s)、terminal 与 validity，再用 A 解释 request/phase 墙钟去了哪里，用 B 解释单次同步如何形成，最后以 D 和 Exposure Signature 导航后续机制审计。</w:t>
      </w:r>
    </w:p>
    <w:p w14:paraId="3E8CC61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研究证据按 Correctness→Information Gain→Decision Gain 递进。Q0 用受控 CUDA 微程序和独立 oracle 验证测量语义；N1/G1 分别以人为 completion-boundary 干预和自然 workload 检验传统指标何时充分、何时失配；G2 在冻结规则和 held-out 场景下检验决策增量。研究不预设必须出现强反转或反常识结果；若传统指标在所测范围内已经充分，或 G2 没有增量，应如实收缩相应 claim。</w:t>
      </w:r>
    </w:p>
    <w:p w14:paraId="71B83E45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1.5 外层用户 E2E 与内层模型执行边界</w:t>
      </w:r>
    </w:p>
    <w:p w14:paraId="71BE5A48">
      <w:pPr>
        <w:ind w:firstLine="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drawing>
          <wp:inline distT="0" distB="0" distL="114300" distR="114300">
            <wp:extent cx="5831840" cy="3064510"/>
            <wp:effectExtent l="0" t="0" r="508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A355">
      <w:pPr>
        <w:pStyle w:val="15"/>
        <w:ind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图 1-1　外层用户 E2E 与内层 Raw→S→{A,B} 测量结构</w:t>
      </w:r>
    </w:p>
    <w:p w14:paraId="63ED0CAE">
      <w:pPr>
        <w:pStyle w:val="169"/>
        <w:shd w:val="clear" w:fill="F3F5F7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0"/>
        </w:rPr>
        <w:t>T_user-E2E = T_tokenize + T_admission/queue + T_model-request + T_detokenize/I-O</w:t>
      </w:r>
    </w:p>
    <w:p w14:paraId="2ED8F6D4">
      <w:pPr>
        <w:pStyle w:val="169"/>
        <w:shd w:val="clear" w:fill="F3F5F7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0"/>
        </w:rPr>
        <w:t>T_model-request = T_prefill + T_decode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7"/>
        <w:gridCol w:w="2181"/>
        <w:gridCol w:w="3858"/>
      </w:tblGrid>
      <w:tr w14:paraId="5DE7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746D19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阶段</w:t>
            </w:r>
          </w:p>
        </w:tc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5B274F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是否进入核心 A</w:t>
            </w:r>
          </w:p>
        </w:tc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0FBC1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原因与报告方式</w:t>
            </w:r>
          </w:p>
        </w:tc>
      </w:tr>
      <w:tr w14:paraId="196F5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0EC54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Tokenization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68122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否，作为外层独立项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D9B9B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文本→token IDs，通常为 CPU 预处理；单独报告</w:t>
            </w:r>
          </w:p>
        </w:tc>
      </w:tr>
      <w:tr w14:paraId="4CE10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303B7A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Engine admission / queue</w:t>
            </w:r>
          </w:p>
        </w:tc>
        <w:tc>
          <w:tcPr>
            <w:tcW w:w="22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123FB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否，作为外层独立项</w:t>
            </w:r>
          </w:p>
        </w:tc>
        <w:tc>
          <w:tcPr>
            <w:tcW w:w="56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32276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服务排队与 request scheduling；单请求研究可接近 0</w:t>
            </w:r>
          </w:p>
        </w:tc>
      </w:tr>
      <w:tr w14:paraId="7BC9B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148D0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Embedding layer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9BD602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是，属于 prefill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DAE7F4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模型 forward 的第一部分，通常由 GPU kernel 执行</w:t>
            </w:r>
          </w:p>
        </w:tc>
      </w:tr>
      <w:tr w14:paraId="0B271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49211A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Prefill</w:t>
            </w:r>
          </w:p>
        </w:tc>
        <w:tc>
          <w:tcPr>
            <w:tcW w:w="22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97096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w="56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E0DFF7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包含 embedding、attention、MLP 和首 token 相关模型执行</w:t>
            </w:r>
          </w:p>
        </w:tc>
      </w:tr>
      <w:tr w14:paraId="65905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2F34B9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Decode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A68B12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E9CCCD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逐 token forward、sampling/模型边界内 Host path</w:t>
            </w:r>
          </w:p>
        </w:tc>
      </w:tr>
      <w:tr w14:paraId="2318A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826521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Detokenization / serialization</w:t>
            </w:r>
          </w:p>
        </w:tc>
        <w:tc>
          <w:tcPr>
            <w:tcW w:w="22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4B21B3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否，外层独立项</w:t>
            </w:r>
          </w:p>
        </w:tc>
        <w:tc>
          <w:tcPr>
            <w:tcW w:w="56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833B7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token→文本及响应处理，不能与 GPU A 类混合</w:t>
            </w:r>
          </w:p>
        </w:tc>
      </w:tr>
    </w:tbl>
    <w:p w14:paraId="229D2093">
      <w:pPr>
        <w:spacing w:after="20"/>
        <w:rPr>
          <w:rFonts w:ascii="Times New Roman" w:hAnsi="Times New Roman" w:eastAsia="宋体"/>
        </w:rPr>
      </w:pPr>
    </w:p>
    <w:p w14:paraId="46A8A65F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A/S/B 的核心 claim 只针对 T_model-request。流式推理中，为确认模型侧 Token 已就绪而发生的自然逐 Token 同步属于 Decode 完成边界；Token 就绪后的反分词、文本拼接、网络传输、前端显示和外部消费者处理不进入核心 A。tokenization、服务排队和外部 I/O 只能作为外层辅助项，不能归入 A_host_path。</w:t>
      </w:r>
    </w:p>
    <w:p w14:paraId="03D0F7A4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1.6 W/M/P/C 统一实验框架</w:t>
      </w:r>
    </w:p>
    <w:p w14:paraId="41F21BB7">
      <w:pPr>
        <w:pStyle w:val="169"/>
        <w:shd w:val="clear" w:fill="F3F5F7"/>
        <w:jc w:val="center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/>
          <w:color w:val="000000"/>
          <w:sz w:val="20"/>
        </w:rPr>
        <w:t>Yφ = Fφ(W, M, P, C),　φ ∈ {prefill, decode, full_request}</w:t>
      </w:r>
    </w:p>
    <w:p w14:paraId="0AD67C4F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W/M/P/C 是实验因素，而不是四套互不相容的指标。核心 W 包含 fixed_input_tokens、fixed_output_tokens 与 batch_size；当前不研究请求并发或 continuous batching，但保留纯模型流式推理中自然逐 Token 的 Token-ready completion boundary。所有 invocation 隔离执行。batch=1 可表述为单请求；batch&gt;1 的 E2E 与 A/B/D 对应整次 batched inference invocation，不分摊成单样本因果开销。</w:t>
      </w:r>
    </w:p>
    <w:p w14:paraId="71116C9C">
      <w:pPr>
        <w:pStyle w:val="5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1.6.1 计算栈基线与完整栈端点的高层边界</w:t>
      </w:r>
    </w:p>
    <w:p w14:paraId="088E7A42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核心基线采用 PyTorch eager，是为了保留 Python/framework 控制、逐算子调度和原生 CUDA API 提交路径；这不等于关闭底层高性能库或融合算子。核心 C 轴只比较同模型、权重、精度、attention backend 与生成逻辑下的 eager 和一个经过 Pilot 证明稳定的 compile/graph 路径。</w:t>
      </w:r>
    </w:p>
    <w:p w14:paraId="0BB03508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vLLM、llama.cpp 等完整推理引擎会同时改变调度、KV cache、算子后端、stream 与 graph 组织，只能作为后续完整 computing-stack endpoint，不能替代 G2 的同栈单变量干预。具体候选与删减规则见实验协议 v2.1；在 Q0、N1/G1、G2 主线完成前不启动这些扩展。</w:t>
      </w:r>
    </w:p>
    <w:p w14:paraId="5036EBDC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研究设计固定“同栈、单主干预、配置可审计、结果允许失败”的原则；具体 compile/graph 模式、capture 范围、warmup、repeat 与删除条件由 Pilot 形成证据后写入 Protocol Freeze，不能在 Pre-Pilot 阶段凭经验固定。</w:t>
      </w:r>
    </w:p>
    <w:p w14:paraId="28C65979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若稳定的同栈干预不可获得，行动性 claim 应降级，而不能临时以跨栈 endpoint 冒充单变量优化实验。</w:t>
      </w:r>
    </w:p>
    <w:tbl>
      <w:tblPr>
        <w:tblStyle w:val="3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1061"/>
        <w:gridCol w:w="3739"/>
        <w:gridCol w:w="2977"/>
      </w:tblGrid>
      <w:tr w14:paraId="39D42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5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1934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因素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B4D8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正式含义</w:t>
            </w:r>
          </w:p>
        </w:tc>
        <w:tc>
          <w:tcPr>
            <w:tcW w:w="3739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5E7D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主变量</w:t>
            </w:r>
          </w:p>
        </w:tc>
        <w:tc>
          <w:tcPr>
            <w:tcW w:w="2977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55A7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专属解释指标</w:t>
            </w:r>
          </w:p>
        </w:tc>
      </w:tr>
      <w:tr w14:paraId="79690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808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W</w:t>
            </w:r>
          </w:p>
        </w:tc>
        <w:tc>
          <w:tcPr>
            <w:tcW w:w="0" w:type="auto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CD5C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Workload</w:t>
            </w:r>
          </w:p>
        </w:tc>
        <w:tc>
          <w:tcPr>
            <w:tcW w:w="3739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CA3A9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prompt、batch、output</w:t>
            </w:r>
          </w:p>
        </w:tc>
        <w:tc>
          <w:tcPr>
            <w:tcW w:w="2977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7693A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每 token API/kernel/sync、规模交互、D 条件化趋势与二维无插值热图</w:t>
            </w:r>
          </w:p>
        </w:tc>
      </w:tr>
      <w:tr w14:paraId="4FCB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E17F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M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747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Model</w:t>
            </w:r>
          </w:p>
        </w:tc>
        <w:tc>
          <w:tcPr>
            <w:tcW w:w="373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3EAC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同家族规模、可选跨架构</w:t>
            </w:r>
          </w:p>
        </w:tc>
        <w:tc>
          <w:tcPr>
            <w:tcW w:w="2977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6D9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参数、层数、hidden、operator/kernel mix</w:t>
            </w:r>
          </w:p>
        </w:tc>
      </w:tr>
      <w:tr w14:paraId="73EB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68E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P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88F0B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完整 Platform</w:t>
            </w:r>
          </w:p>
        </w:tc>
        <w:tc>
          <w:tcPr>
            <w:tcW w:w="37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087F8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CPU、GPU、内存、PCIe/NUMA、固定 power limit</w:t>
            </w:r>
          </w:p>
        </w:tc>
        <w:tc>
          <w:tcPr>
            <w:tcW w:w="29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BDF7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platform snapshot、Host 能力、GPU clock/power/temp</w:t>
            </w:r>
          </w:p>
        </w:tc>
      </w:tr>
      <w:tr w14:paraId="01A2E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C275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C</w:t>
            </w:r>
          </w:p>
        </w:tc>
        <w:tc>
          <w:tcPr>
            <w:tcW w:w="106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AD6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Computing stack</w:t>
            </w:r>
          </w:p>
        </w:tc>
        <w:tc>
          <w:tcPr>
            <w:tcW w:w="373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2651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driver/CUDA/PyTorch 版本、framework-native eager/compile/graph、attention backend；vLLM 等完整栈仅作可选 endpoint</w:t>
            </w:r>
          </w:p>
        </w:tc>
        <w:tc>
          <w:tcPr>
            <w:tcW w:w="2977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DA9C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graph breaks/capture coverage、API/kernel 数变化、编译与 capture 边界、输出一致性</w:t>
            </w:r>
          </w:p>
        </w:tc>
      </w:tr>
    </w:tbl>
    <w:p w14:paraId="221A7B27">
      <w:pPr>
        <w:spacing w:after="20"/>
        <w:rPr>
          <w:rFonts w:ascii="Times New Roman" w:hAnsi="Times New Roman" w:eastAsia="宋体"/>
        </w:rPr>
      </w:pPr>
    </w:p>
    <w:p w14:paraId="1990BB19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1.7 平台扩展与 CPU 混杂</w:t>
      </w:r>
    </w:p>
    <w:p w14:paraId="616E5749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平台轴首先使用同一主机上的双 GPU 配对，以降低 CPU、内存和软件环境混杂；外部平台用于检验完整系统端点的外部有效性，而不是把全部差异归因于单独 GPU。</w:t>
      </w:r>
    </w:p>
    <w:p w14:paraId="4A3C44FA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平台证据必须同时记录 CPU、内存、PCIe/NUMA、功耗、时钟和软件栈。具体设备、platform_snapshot、绑定策略和正式适用范围由实验协议冻结。</w:t>
      </w:r>
    </w:p>
    <w:p w14:paraId="64194E35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跨主机比较一律表述为完整 Platform 效应；同主机配对也只能在控制 CPU/NUMA/功耗后讨论 GPU 条件化差异。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1768"/>
        <w:gridCol w:w="2497"/>
        <w:gridCol w:w="2370"/>
      </w:tblGrid>
      <w:tr w14:paraId="1132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2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45862">
            <w:pPr>
              <w:ind w:firstLine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平台层次</w:t>
            </w:r>
          </w:p>
        </w:tc>
        <w:tc>
          <w:tcPr>
            <w:tcW w:w="2422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F52AE">
            <w:pPr>
              <w:ind w:firstLine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研究用途</w:t>
            </w:r>
          </w:p>
        </w:tc>
        <w:tc>
          <w:tcPr>
            <w:tcW w:w="2422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EC4413">
            <w:pPr>
              <w:ind w:firstLine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因果解释边界</w:t>
            </w:r>
          </w:p>
        </w:tc>
        <w:tc>
          <w:tcPr>
            <w:tcW w:w="2422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C5775C">
            <w:pPr>
              <w:ind w:firstLine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精确配置来源</w:t>
            </w:r>
          </w:p>
        </w:tc>
      </w:tr>
      <w:tr w14:paraId="621C7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8796F2">
            <w:pPr>
              <w:spacing w:after="0"/>
              <w:ind w:firstLine="0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同主机双 GPU 配对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077634">
            <w:pPr>
              <w:spacing w:after="0"/>
              <w:ind w:firstLine="0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核心平台条件化比较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80F44E">
            <w:pPr>
              <w:spacing w:after="0"/>
              <w:ind w:firstLine="0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控制主机后讨论 GPU/板卡相关差异，仍报告 PCIe/NUMA/功耗</w:t>
            </w:r>
          </w:p>
        </w:tc>
        <w:tc>
          <w:tcPr>
            <w:tcW w:w="317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D51BAA">
            <w:pPr>
              <w:spacing w:after="0"/>
              <w:ind w:firstLine="0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实验协议 v2.1 的 P0/P1</w:t>
            </w:r>
          </w:p>
        </w:tc>
      </w:tr>
      <w:tr w14:paraId="143C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3CC8C8">
            <w:pPr>
              <w:spacing w:after="0"/>
              <w:ind w:firstLine="0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外部离散平台</w:t>
            </w:r>
          </w:p>
        </w:tc>
        <w:tc>
          <w:tcPr>
            <w:tcW w:w="181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2228C1">
            <w:pPr>
              <w:spacing w:after="0"/>
              <w:ind w:firstLine="0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外部有效性与低端边界</w:t>
            </w:r>
          </w:p>
        </w:tc>
        <w:tc>
          <w:tcPr>
            <w:tcW w:w="306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10E242">
            <w:pPr>
              <w:spacing w:after="0"/>
              <w:ind w:firstLine="0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只讨论完整平台 endpoint，不做纯 GPU 因果</w:t>
            </w:r>
          </w:p>
        </w:tc>
        <w:tc>
          <w:tcPr>
            <w:tcW w:w="317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515154">
            <w:pPr>
              <w:spacing w:after="0"/>
              <w:ind w:firstLine="0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实验协议 v2.1 的 P2</w:t>
            </w:r>
          </w:p>
        </w:tc>
      </w:tr>
      <w:tr w14:paraId="1354B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9030E4">
            <w:pPr>
              <w:spacing w:after="0"/>
              <w:ind w:firstLine="0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端侧/统一内存平台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1AAE45">
            <w:pPr>
              <w:spacing w:after="0"/>
              <w:ind w:firstLine="0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后续独立扩展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6333AC">
            <w:pPr>
              <w:spacing w:after="0"/>
              <w:ind w:firstLine="0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需额外建模功耗、统一内存、thermal 与外层 E2E</w:t>
            </w:r>
          </w:p>
        </w:tc>
        <w:tc>
          <w:tcPr>
            <w:tcW w:w="317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F64407">
            <w:pPr>
              <w:spacing w:after="0"/>
              <w:ind w:firstLine="0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未来工作</w:t>
            </w:r>
          </w:p>
        </w:tc>
      </w:tr>
    </w:tbl>
    <w:p w14:paraId="13E3B2A3">
      <w:pPr>
        <w:spacing w:after="20"/>
        <w:rPr>
          <w:rFonts w:ascii="Times New Roman" w:hAnsi="Times New Roman" w:eastAsia="宋体"/>
          <w:highlight w:val="none"/>
        </w:rPr>
      </w:pPr>
    </w:p>
    <w:p w14:paraId="78C92717">
      <w:pPr>
        <w:pStyle w:val="167"/>
        <w:shd w:val="clear" w:fill="E6F3EB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资源有限时，优先保证 Q0→N1/G1→G2 主证据链。G3/G4 只在核心链完成后用于检验一个必要的适用边界；外部平台、端侧、MoE、量化和跨引擎扩展不得挤占核心工作。</w:t>
      </w:r>
    </w:p>
    <w:p w14:paraId="7A0F783F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1.8 研究问题与假设</w:t>
      </w:r>
    </w:p>
    <w:tbl>
      <w:tblPr>
        <w:tblStyle w:val="34"/>
        <w:tblW w:w="84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419"/>
        <w:gridCol w:w="3183"/>
      </w:tblGrid>
      <w:tr w14:paraId="05CCA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证据问题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要回答的问题</w:t>
            </w:r>
          </w:p>
        </w:tc>
        <w:tc>
          <w:tcPr>
            <w:tcW w:w="3183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核心证据</w:t>
            </w:r>
          </w:p>
        </w:tc>
      </w:tr>
      <w:tr w14:paraId="640B2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Q0 Correctness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S 是否按 CUDA completion semantics 正确恢复 W(s)、terminal、validity，并使 A/B 满足语义不变量？</w:t>
            </w:r>
          </w:p>
        </w:tc>
        <w:tc>
          <w:tcPr>
            <w:tcW w:w="3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受控 CUDA 微程序、独立 oracle、合成 fixture、真实 observation stack 与 fail-closed</w:t>
            </w:r>
          </w:p>
        </w:tc>
      </w:tr>
      <w:tr w14:paraId="2971B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N1 Information Gain</w:t>
            </w:r>
          </w:p>
        </w:tc>
        <w:tc>
          <w:tcPr>
            <w:tcW w:w="0" w:type="auto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人为移动 completion boundary 时，局部 raw sync 能否代表 request-level 增量？</w:t>
            </w:r>
          </w:p>
        </w:tc>
        <w:tc>
          <w:tcPr>
            <w:tcW w:w="3183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自然基线与干预隔离、Pass0 ΔE2E、A 净变化、B waiting migration/hidden progress</w:t>
            </w:r>
          </w:p>
        </w:tc>
      </w:tr>
      <w:tr w14:paraId="67BDE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G1 Information Gain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自然 workload 变化下，activity 与 exposure 是同比、稳定非同比、区间依赖还是 null？</w:t>
            </w:r>
          </w:p>
        </w:tc>
        <w:tc>
          <w:tcPr>
            <w:tcW w:w="3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冻结 workload、Prefill 绝对量、Decode per-token、A/B/Signature 与传统 baseline</w:t>
            </w:r>
          </w:p>
        </w:tc>
      </w:tr>
      <w:tr w14:paraId="4D430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G2 Decision Gain</w:t>
            </w:r>
          </w:p>
        </w:tc>
        <w:tc>
          <w:tcPr>
            <w:tcW w:w="441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Exposure 信息能否在 held-out 场景中增加真实优化选择或解释价值？</w:t>
            </w:r>
          </w:p>
        </w:tc>
        <w:tc>
          <w:tcPr>
            <w:tcW w:w="3183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预注册干预、baseline、held-out、ΔA 与失败后 claim 收缩</w:t>
            </w:r>
          </w:p>
        </w:tc>
      </w:tr>
    </w:tbl>
    <w:p w14:paraId="697DF1EE">
      <w:pPr>
        <w:spacing w:after="20"/>
        <w:rPr>
          <w:rFonts w:ascii="Times New Roman" w:hAnsi="Times New Roman" w:eastAsia="宋体"/>
        </w:rPr>
      </w:pPr>
    </w:p>
    <w:p w14:paraId="5BBEEE8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G2 是 Decision Gain 层，不是 Q0/G1 的替代品。若 G2 干预不可运行或 held-out 结果无增量，应删除预测或决策优势主张；不能通过更换跨栈 endpoint 或事后改分数追求正结果。</w:t>
      </w:r>
    </w:p>
    <w:p w14:paraId="00A5FD91">
      <w:pPr>
        <w:bidi w:val="0"/>
      </w:pPr>
      <w:r>
        <w:rPr>
          <w:color w:val="000000"/>
        </w:rPr>
        <w:t>当前不启用任何跨栈或事后选择的 G2 fallback。C1、G2_score、held-out 单元和 baseline 在本阶段都只是待 Pilot 审查的候选；只有在 Formal 数据前完成预注册与 Protocol Freeze 后，才能用于决策增量检验。</w:t>
      </w:r>
    </w:p>
    <w:p w14:paraId="69A9E886">
      <w:pPr>
        <w:pStyle w:val="5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1.8.1 迁移判定：连续 D 为主，离散状态为辅</w:t>
      </w:r>
    </w:p>
    <w:p w14:paraId="5D4B8568">
      <w:pPr>
        <w:pStyle w:val="169"/>
        <w:jc w:val="center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D_margin,φ = A_device_wait_ms − (A_host_path_ms + A_cuda_api_ms)</w:t>
      </w:r>
    </w:p>
    <w:p w14:paraId="7BF1D01F">
      <w:pPr>
        <w:pStyle w:val="169"/>
        <w:jc w:val="center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D_score,φ = D_margin,φ / (A_device_wait_ms + A_host_path_ms + A_cuda_api_ms)</w:t>
      </w:r>
    </w:p>
    <w:p w14:paraId="53A703B4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D_score∈[−1,1]，分母为 0 时为 null。D&lt;0 表示 Host/API 两类在三项竞争组成中占优，D&gt;0 表示 device-wait 占优，D=0 是结构平衡点；A_sync_residual 与 A_unattributed 不被隐藏，必须在同图或伴随表中继续报告。</w:t>
      </w:r>
    </w:p>
    <w:p w14:paraId="6ADAA909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正式判定不需要事后挑选任意百分比阈值：先在每个 repeat/phase 计算 D；WMPC 级主点估计定义为全部成功 repeat 的 D_score 算术平均，95% percentile bootstrap CI 以 repeat 为重采样单位。CI 上界&lt;0 记为 HOST_API_DOMINANT，CI 下界&gt;0 记为 DEVICE_WAIT_DOMINANT，CI 包含 0 记为 TRANSITION_UNCERTAIN。CI 跨 0 是合法的结构平衡/证据不确定结果，不是数据质量失败，也不要求继续追加 repeat 直至 CI 离开 0。</w:t>
      </w:r>
    </w:p>
    <w:p w14:paraId="4D60EB7C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论文主证据采用“双视图”：第一视图在离散 W 网格上绘制条件化趋势曲线与二维无插值热图——固定两个 W 变量，沿第三个有序变量展示 D_score 点估计及 95% CI；第二视图绘制五类 A 的绝对值和占比堆叠图。图中的连接线仅辅助观察已测离散点之间的变化，不宣称未测 W 区间存在已验证的连续函数或三维平滑响应面；离散 dominance state 只用于摘要和定位。</w:t>
      </w:r>
    </w:p>
    <w:p w14:paraId="482D62E2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practical effect band |D|≤δ 默认不启用（δ=null）。只有 pilot 明确表明仪器分辨率或 repeat 波动使极小 D 差异缺乏实际意义时，才可由 pilot 的重复波动或最小可辨效应提出 δ，并在正式全矩阵分析前冻结；主论文仍报告 δ=0 的结果，δ 仅作为敏感性补充。</w:t>
      </w:r>
    </w:p>
    <w:p w14:paraId="517BDEF8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1.9 可投稿贡献层级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6"/>
        <w:gridCol w:w="2528"/>
        <w:gridCol w:w="3402"/>
      </w:tblGrid>
      <w:tr w14:paraId="438F5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证据层级</w:t>
            </w:r>
          </w:p>
        </w:tc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必须具备的证据</w:t>
            </w:r>
          </w:p>
        </w:tc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允许主张</w:t>
            </w:r>
          </w:p>
        </w:tc>
      </w:tr>
      <w:tr w14:paraId="144EF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L1 Correctness</w:t>
            </w:r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Q0 全部必需 case 通过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在声明支持的 observation 条件下正确恢复测量对象</w:t>
            </w:r>
          </w:p>
        </w:tc>
      </w:tr>
      <w:tr w14:paraId="6D67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L2 Information Gain</w:t>
            </w:r>
          </w:p>
        </w:tc>
        <w:tc>
          <w:tcPr>
            <w:tcW w:w="35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L1 + N1/G1 的稳定非冗余信息或明确等价边界</w:t>
            </w:r>
          </w:p>
        </w:tc>
        <w:tc>
          <w:tcPr>
            <w:tcW w:w="510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相对传统 activity 指标增加解释信息，或界定其充分区间</w:t>
            </w:r>
          </w:p>
        </w:tc>
      </w:tr>
      <w:tr w14:paraId="2823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L3 Decision Gain</w:t>
            </w:r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L2 + 预注册 held-out G2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在限定优化与平台范围内增加决策或响应解释价值</w:t>
            </w:r>
          </w:p>
        </w:tc>
      </w:tr>
      <w:tr w14:paraId="1B9DB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L4 Applicability</w:t>
            </w:r>
          </w:p>
        </w:tc>
        <w:tc>
          <w:tcPr>
            <w:tcW w:w="35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L1–L3 + 必要的 G3/G4 边界实验</w:t>
            </w:r>
          </w:p>
        </w:tc>
        <w:tc>
          <w:tcPr>
            <w:tcW w:w="510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限定条件下的适用范围，不自动推广到多 GPU/serving</w:t>
            </w:r>
          </w:p>
        </w:tc>
      </w:tr>
    </w:tbl>
    <w:p w14:paraId="251EA6B9">
      <w:pPr>
        <w:spacing w:after="20"/>
        <w:rPr>
          <w:rFonts w:ascii="Times New Roman" w:hAnsi="Times New Roman" w:eastAsia="宋体"/>
        </w:rPr>
      </w:pPr>
    </w:p>
    <w:p w14:paraId="6CF09D1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br w:type="page"/>
      </w:r>
    </w:p>
    <w:p w14:paraId="328B6A5E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第二章　测量边界、Raw/S/A/B 建模与指标体系</w:t>
      </w:r>
    </w:p>
    <w:p w14:paraId="6967017D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2.1 数据流：S 是 A/B 的共同前置，不是独立性能层</w:t>
      </w:r>
    </w:p>
    <w:p w14:paraId="135392AC">
      <w:pPr>
        <w:pStyle w:val="169"/>
        <w:shd w:val="clear" w:fill="F3F5F7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0"/>
        </w:rPr>
        <w:t>Raw trace → S(sync semantic normalization) → {A wall-clock accounting, B per-sync provenance}</w:t>
      </w:r>
    </w:p>
    <w:p w14:paraId="523A7A62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Raw trace 只记录 API、kernel、MemOp、synchronization、identity 与时间事实。S 按同步类型、提交顺序、context/stream/event、ownership 和 observation contract 恢复 W(s)、terminal 证据与 validity。A 与 B 共同依赖 S：A 回答 request/phase 的互斥墙钟去向，B 回答单次同步的来源与隐藏/暴露结构；D 与 Exposure Signature 只能从冻结后的 A/B 派生。</w:t>
      </w:r>
    </w:p>
    <w:p w14:paraId="5200B86E">
      <w:pPr>
        <w:pStyle w:val="5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阶段时延、ratio-of-sums 吞吐与 token 归一化</w:t>
      </w:r>
    </w:p>
    <w:p w14:paraId="4F454023">
      <w:pPr>
        <w:pStyle w:val="169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prefill_latency_ms = prefill.end − prefill.start；decode_latency_ms = decode.end − decode.start</w:t>
      </w:r>
    </w:p>
    <w:p w14:paraId="705DE479">
      <w:pPr>
        <w:pStyle w:val="169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prefill_tokens_per_repeat = batch_size × fixed_input_tokens；decode_tokens_per_repeat = batch_size × max(fixed_output_tokens − 1, 0)。首个输出 token 已计入 prefill，因此不重复计入 decode。</w:t>
      </w:r>
    </w:p>
    <w:p w14:paraId="0C896C4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WMPC 聚合吞吐必须使用 ratio-of-sums：prefill_throughput_tps = Σprefill_tokens_per_repeat / Σ(prefill_latency_ms/1000)，decode_throughput_tps = Σdecode_tokens_per_repeat / Σ(decode_latency_ms/1000)，inference_output_throughput_tps = Σ(batch_size × fixed_output_tokens) / Σ(inference_e2e_latency_ms/1000)。API/kernel/sync 的每 token 指标仅在对应 phase 内使用同一 token 分母；decode_tokens_per_repeat=0 时相关值为 null。主 latency/throughput 来自 Pass 0。</w:t>
      </w:r>
    </w:p>
    <w:p w14:paraId="0A630C98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2.2 Raw 层</w:t>
      </w:r>
    </w:p>
    <w:p w14:paraId="1177F29B">
      <w:pPr>
        <w:pStyle w:val="169"/>
        <w:shd w:val="clear" w:fill="F3F5F7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0"/>
        </w:rPr>
        <w:t>activity overlaps window ⇔ end &gt; window.start ∧ start &lt; window.end</w:t>
      </w:r>
    </w:p>
    <w:p w14:paraId="10FA98A2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Raw 层保留事实：API/kernel/MemOp/sync count、raw duration、interval union、stream/context/correlation、GPU active 与 concurrency。Raw duration 不能直接相加为 request latency。窗口查询使用 start-sorted interval index、prefix-max-end 和最终半开区间过滤。</w:t>
      </w:r>
    </w:p>
    <w:p w14:paraId="140670DC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其中，MemOp 仅统计 trace 中显式呈现的 memcpy、memset 等活动，不代表 kernel 内部的全部显存读写。</w:t>
      </w:r>
    </w:p>
    <w:p w14:paraId="6F33C040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2.3 S 层：同步语义归一化</w:t>
      </w:r>
    </w:p>
    <w:p>
      <w:pPr>
        <w:pStyle w:val="5"/>
      </w:pPr>
      <w:r>
        <w:rPr>
          <w:color w:val="000000"/>
        </w:rPr>
        <w:t>2.3.0 Completion set、W(s) 与时间关系</w:t>
      </w:r>
    </w:p>
    <w:p>
      <w:pPr/>
      <w:r>
        <w:rPr>
          <w:color w:val="000000"/>
        </w:rPr>
        <w:t>S 层先依据同步原语的 completion semantics 确定 semantic predecessor set，再用提交证据和 request ownership 构造 W(s)。时间戳用于区分成员在 sync 前已完成、与 sync 重叠或异常晚于 sync；时间重叠本身永远不能生成 dependency。</w:t>
      </w:r>
    </w:p>
    <w:p w14:paraId="64ACEF86">
      <w:pPr>
        <w:pStyle w:val="169"/>
        <w:shd w:val="clear" w:fill="F3F5F7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0"/>
        </w:rPr>
        <w:t>W(s) = {e | e 属于同步 s 的 completion scope，且在 s 之前按冻结提交规则成为其语义前驱并可归属到当前请求}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3046"/>
        <w:gridCol w:w="3010"/>
      </w:tblGrid>
      <w:tr w14:paraId="7C39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sync 类型</w:t>
            </w:r>
          </w:p>
        </w:tc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completion scope / W(s) 规则</w:t>
            </w:r>
          </w:p>
        </w:tc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失败条件</w:t>
            </w:r>
          </w:p>
        </w:tc>
      </w:tr>
      <w:tr w14:paraId="29FD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Stream sync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目标 stream 在同步前按序提交的请求内语义前驱，包括 sync 入口前已完成者及可观察传递前驱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缺 stream/context、提交顺序、default-stream 或 closure 证据</w:t>
            </w:r>
          </w:p>
        </w:tc>
      </w:tr>
      <w:tr w14:paraId="7C8BE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Device/context sync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owned device/context 中同步前提交且属于请求范围的语义前驱，包括已经完成的成员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context/ownership 不唯一或存在无法排除的外部 workload</w:t>
            </w:r>
          </w:p>
        </w:tc>
      </w:tr>
      <w:tr w14:paraId="4B5ED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Event sync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event record boundary 所代表的提交前缀及可观察传递前驱，不含 record 后活动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event record、event ID 或 wait mapping 不可恢复</w:t>
            </w:r>
          </w:p>
        </w:tc>
      </w:tr>
      <w:tr w14:paraId="58173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未知或隐式 sync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只有 registry 明确其 completion semantics 与必需 identity 时才构造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否则 unsupported/ambiguous/invalid 并 fail closed</w:t>
            </w:r>
          </w:p>
        </w:tc>
      </w:tr>
    </w:tbl>
    <w:p w14:paraId="68F524A2">
      <w:pPr>
        <w:spacing w:after="20"/>
        <w:rPr>
          <w:rFonts w:ascii="Times New Roman" w:hAnsi="Times New Roman" w:eastAsia="宋体"/>
        </w:rPr>
      </w:pPr>
    </w:p>
    <w:p w14:paraId="767215FC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S 的最小产物包括 completion_scope、W(s)、terminal evidence、validity、reason code、ownership 和 supported-sync coverage。W(s) 包含同步入口前已经完成但仍属于语义前驱的活动；证据不足、映射冲突或 terminal 不唯一时必须 fail closed。</w:t>
      </w:r>
    </w:p>
    <w:p w14:paraId="200C442B">
      <w:pPr>
        <w:pStyle w:val="5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2.3.1 单 GPU条件下的支持边界与覆盖率</w:t>
      </w:r>
    </w:p>
    <w:p w14:paraId="26733AAF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单 GPU 只排除了跨设备通信，并不会消除多 stream、多 Host 线程或 event/context 语义。Pilot 阶段允许 sync_semantics_registry 以 v0.x 版本演进，逐项补齐 CUDA Runtime/Driver API 名称、stream/device/event 类型、必需字段、默认流假设和标准化 invalid_reason；正式 Protocol Freeze 时发布 v1.0 并绑定 analyzer commit。正式采集后若需修正语义，必须生成新 registry/analyzer 版本、重新通过 qualification，并对全部受影响 trace 统一重算或重采，禁止在同一主分析中混用不同 registry 版本。</w:t>
      </w:r>
    </w:p>
    <w:p w14:paraId="50309D20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除 B_valid_coverage 外，正式结果同时报告 supported_sync_count_coverage_pct 与 supported_sync_duration_coverage_pct，分母均为阶段内全部 physical blocking sync。unsupported 与证据不足记录保留原始事实并进入 A_unattributed/B invalid，不以近似 wait set 替代。</w:t>
      </w:r>
    </w:p>
    <w:p w14:paraId="7921575A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Device/context sync 在当前单卡边界下仅纳入同一被测 CUDA context 的活动；正式运行要求选定 GPU 上不存在其他 CUDA workload。若 trace 显示多 context 且 ownership 无法唯一恢复，则相关时间 fail closed。</w:t>
      </w:r>
    </w:p>
    <w:p w14:paraId="013F77A6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2.3.2 Trace observation model 与 submitted 的操作定义</w:t>
      </w:r>
    </w:p>
    <w:p w14:paraId="59D69E84">
      <w:pPr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S 层只使用 trace 中可审计的事实，不把“CUDA API 已返回”“activity 已开始”或“correlation 已出现”任意等同于硬件已接收命令。本文中的 submitted 是操作性术语：表示某 GPU activity 在 sync.start 前已经被证明进入 CUDA 可排序的 stream/event 执行域。</w:t>
      </w:r>
    </w:p>
    <w:tbl>
      <w:tblPr>
        <w:tblStyle w:val="3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3732"/>
        <w:gridCol w:w="3220"/>
      </w:tblGrid>
      <w:tr w14:paraId="79791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70" w:type="dxa"/>
            <w:shd w:val="clear" w:color="auto" w:fill="DDEBF7"/>
            <w:vAlign w:val="center"/>
          </w:tcPr>
          <w:p w14:paraId="191428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对象</w:t>
            </w:r>
          </w:p>
        </w:tc>
        <w:tc>
          <w:tcPr>
            <w:tcW w:w="3732" w:type="dxa"/>
            <w:shd w:val="clear" w:color="auto" w:fill="DDEBF7"/>
            <w:vAlign w:val="center"/>
          </w:tcPr>
          <w:p w14:paraId="0C979A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最小必需事实</w:t>
            </w:r>
          </w:p>
        </w:tc>
        <w:tc>
          <w:tcPr>
            <w:tcW w:w="3220" w:type="dxa"/>
            <w:shd w:val="clear" w:color="auto" w:fill="DDEBF7"/>
            <w:vAlign w:val="center"/>
          </w:tcPr>
          <w:p w14:paraId="70295D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缺失或歧义时的处理</w:t>
            </w:r>
          </w:p>
        </w:tc>
      </w:tr>
      <w:tr w14:paraId="2015E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0" w:type="dxa"/>
            <w:vAlign w:val="center"/>
          </w:tcPr>
          <w:p w14:paraId="64B882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阻塞同步 API</w:t>
            </w:r>
          </w:p>
        </w:tc>
        <w:tc>
          <w:tcPr>
            <w:tcW w:w="3732" w:type="dxa"/>
            <w:vAlign w:val="center"/>
          </w:tcPr>
          <w:p w14:paraId="3C6E36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API 名称、Host start/end、Host thread、device/context，以及适用的 stream/event 参数</w:t>
            </w:r>
          </w:p>
        </w:tc>
        <w:tc>
          <w:tcPr>
            <w:tcW w:w="3220" w:type="dxa"/>
            <w:vAlign w:val="center"/>
          </w:tcPr>
          <w:p w14:paraId="3070E3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不能唯一识别同步类别或等待域时 fail closed</w:t>
            </w:r>
          </w:p>
        </w:tc>
      </w:tr>
      <w:tr w14:paraId="61A14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0" w:type="dxa"/>
            <w:vAlign w:val="center"/>
          </w:tcPr>
          <w:p w14:paraId="686298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Launch/enqueue API</w:t>
            </w:r>
          </w:p>
        </w:tc>
        <w:tc>
          <w:tcPr>
            <w:tcW w:w="3732" w:type="dxa"/>
            <w:vAlign w:val="center"/>
          </w:tcPr>
          <w:p w14:paraId="566D33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Host start/end、thread、correlation、context、stream、API 分类</w:t>
            </w:r>
          </w:p>
        </w:tc>
        <w:tc>
          <w:tcPr>
            <w:tcW w:w="3220" w:type="dxa"/>
            <w:vAlign w:val="center"/>
          </w:tcPr>
          <w:p w14:paraId="76406A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无法与 activity 或 invocation 对齐时标记 mapping/ownership invalid</w:t>
            </w:r>
          </w:p>
        </w:tc>
      </w:tr>
      <w:tr w14:paraId="28F98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0" w:type="dxa"/>
            <w:vAlign w:val="center"/>
          </w:tcPr>
          <w:p w14:paraId="52EA0B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GPU activity</w:t>
            </w:r>
          </w:p>
        </w:tc>
        <w:tc>
          <w:tcPr>
            <w:tcW w:w="3732" w:type="dxa"/>
            <w:vAlign w:val="center"/>
          </w:tcPr>
          <w:p w14:paraId="134ECB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activity ID、kernel/MemOp 类型、GPU start/end、stream、context、correlation</w:t>
            </w:r>
          </w:p>
        </w:tc>
        <w:tc>
          <w:tcPr>
            <w:tcW w:w="3220" w:type="dxa"/>
            <w:vAlign w:val="center"/>
          </w:tcPr>
          <w:p w14:paraId="7763D8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缺失关键 identity/order 字段时不构造近似 wait set</w:t>
            </w:r>
          </w:p>
        </w:tc>
      </w:tr>
      <w:tr w14:paraId="76AC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0" w:type="dxa"/>
            <w:vAlign w:val="center"/>
          </w:tcPr>
          <w:p w14:paraId="3FFBCC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Event 关系</w:t>
            </w:r>
          </w:p>
        </w:tc>
        <w:tc>
          <w:tcPr>
            <w:tcW w:w="3732" w:type="dxa"/>
            <w:vAlign w:val="center"/>
          </w:tcPr>
          <w:p w14:paraId="697822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event ID、record API、record stream/context、record 顺序、wait API</w:t>
            </w:r>
          </w:p>
        </w:tc>
        <w:tc>
          <w:tcPr>
            <w:tcW w:w="3220" w:type="dxa"/>
            <w:vAlign w:val="center"/>
          </w:tcPr>
          <w:p w14:paraId="60879C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record 或 wait 映射不完整时 dependency closure invalid</w:t>
            </w:r>
          </w:p>
        </w:tc>
      </w:tr>
      <w:tr w14:paraId="08335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0" w:type="dxa"/>
            <w:vAlign w:val="center"/>
          </w:tcPr>
          <w:p w14:paraId="1E2A76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Invocation/phase</w:t>
            </w:r>
          </w:p>
        </w:tc>
        <w:tc>
          <w:tcPr>
            <w:tcW w:w="3732" w:type="dxa"/>
            <w:vAlign w:val="center"/>
          </w:tcPr>
          <w:p w14:paraId="584DDB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request ID、NVTX 半开区间、owner thread/callsite</w:t>
            </w:r>
          </w:p>
        </w:tc>
        <w:tc>
          <w:tcPr>
            <w:tcW w:w="3220" w:type="dxa"/>
            <w:vAlign w:val="center"/>
          </w:tcPr>
          <w:p w14:paraId="5BCD91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  <w:sz w:val="18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  <w:szCs w:val="21"/>
              </w:rPr>
              <w:t>边界或 owner 不唯一时进入 A_unattributed/B invalid</w:t>
            </w:r>
          </w:p>
        </w:tc>
      </w:tr>
    </w:tbl>
    <w:p w14:paraId="25D9A178">
      <w:pPr>
        <w:pStyle w:val="169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submission_proven(e,s) := [e.gpu_start &lt; s.host_start] OR [correlated_enqueue_api.host_end ≤ s.host_start]。该规则证明的是“进入可排序域”，不是命令到达硬件队列的物理时刻。</w:t>
      </w:r>
    </w:p>
    <w:p w14:paraId="77626B27">
      <w:pPr>
        <w:pStyle w:val="168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若 enqueue API 与 sync.start 重叠、activity 尚未开始，且 trace 没有更强的提交顺序事实，则输出 SUBMISSION_ORDER_AMBIGUOUS；不得使用 enqueue API start、经验阈值或同一 correlation 的存在性猜测成员资格。该操作定义须由 Q0 多 Host 线程案例验证，并允许在 Pilot 后以新 registry 版本收紧，但不得在正式主分析中混用版本。</w:t>
      </w:r>
    </w:p>
    <w:p w14:paraId="196DF1B7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2.3.3 Physical blocking sync universe 与支持矩阵</w:t>
      </w:r>
    </w:p>
    <w:p w14:paraId="3945E947">
      <w:pPr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supported_sync_count/duration coverage 的分母由 physical blocking sync universe 决定。该 universe 包含在当前运行语义下可能阻塞 Host 直至某个 CUDA 完成条件成立的 Runtime/Driver API；非阻塞 query、异步 launch/enqueue 不因名称中含 event/stream 即自动视为同步。精确 API alias、版本与字段映射由 sync_semantics_registry 绑定。</w:t>
      </w:r>
    </w:p>
    <w:tbl>
      <w:tblPr>
        <w:tblStyle w:val="3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225"/>
        <w:gridCol w:w="1246"/>
        <w:gridCol w:w="3532"/>
      </w:tblGrid>
      <w:tr w14:paraId="4BD0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 w14:paraId="481632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类别</w:t>
            </w:r>
          </w:p>
        </w:tc>
        <w:tc>
          <w:tcPr>
            <w:tcW w:w="0" w:type="auto"/>
            <w:shd w:val="clear" w:color="auto" w:fill="DDEBF7"/>
            <w:vAlign w:val="center"/>
          </w:tcPr>
          <w:p w14:paraId="00D31C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代表性API/结构</w:t>
            </w:r>
          </w:p>
        </w:tc>
        <w:tc>
          <w:tcPr>
            <w:tcW w:w="0" w:type="auto"/>
            <w:shd w:val="clear" w:color="auto" w:fill="DDEBF7"/>
            <w:vAlign w:val="center"/>
          </w:tcPr>
          <w:p w14:paraId="7CE9BB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v0.x处理</w:t>
            </w:r>
          </w:p>
        </w:tc>
        <w:tc>
          <w:tcPr>
            <w:tcW w:w="3532" w:type="dxa"/>
            <w:shd w:val="clear" w:color="auto" w:fill="DDEBF7"/>
            <w:vAlign w:val="center"/>
          </w:tcPr>
          <w:p w14:paraId="7E3D95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等待语义与失败边界</w:t>
            </w:r>
          </w:p>
        </w:tc>
      </w:tr>
      <w:tr w14:paraId="709BE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B8CCE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Stream synchronization</w:t>
            </w:r>
          </w:p>
        </w:tc>
        <w:tc>
          <w:tcPr>
            <w:tcW w:w="0" w:type="auto"/>
            <w:vAlign w:val="center"/>
          </w:tcPr>
          <w:p w14:paraId="32E51D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cudaStreamSynchronize / cuStreamSynchronize</w:t>
            </w:r>
          </w:p>
        </w:tc>
        <w:tc>
          <w:tcPr>
            <w:tcW w:w="0" w:type="auto"/>
            <w:vAlign w:val="center"/>
          </w:tcPr>
          <w:p w14:paraId="5B22EE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核心支持</w:t>
            </w:r>
          </w:p>
        </w:tc>
        <w:tc>
          <w:tcPr>
            <w:tcW w:w="3532" w:type="dxa"/>
            <w:vAlign w:val="center"/>
          </w:tcPr>
          <w:p w14:paraId="49E5AC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目标 stream 的可观察依赖闭包；stream/context/default-stream 模式不清时 invalid</w:t>
            </w:r>
          </w:p>
        </w:tc>
      </w:tr>
      <w:tr w14:paraId="74D3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E6066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Device/context synchronization</w:t>
            </w:r>
          </w:p>
        </w:tc>
        <w:tc>
          <w:tcPr>
            <w:tcW w:w="0" w:type="auto"/>
            <w:vAlign w:val="center"/>
          </w:tcPr>
          <w:p w14:paraId="10AD37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cudaDeviceSynchronize / cuCtxSynchronize</w:t>
            </w:r>
          </w:p>
        </w:tc>
        <w:tc>
          <w:tcPr>
            <w:tcW w:w="0" w:type="auto"/>
            <w:vAlign w:val="center"/>
          </w:tcPr>
          <w:p w14:paraId="405C2F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核心支持</w:t>
            </w:r>
          </w:p>
        </w:tc>
        <w:tc>
          <w:tcPr>
            <w:tcW w:w="3532" w:type="dxa"/>
            <w:vAlign w:val="center"/>
          </w:tcPr>
          <w:p>
            <w:r>
              <w:rPr/>
              <w:t>被测 owned context 中同步前已证明 submitted 的请求内语义前驱；成员是否在 sync.start 前完成只影响 hidden/exposed，不影响 W(s) 成员资格</w:t>
            </w:r>
          </w:p>
        </w:tc>
      </w:tr>
      <w:tr w14:paraId="1E9A6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8FE7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Event synchronization</w:t>
            </w:r>
          </w:p>
        </w:tc>
        <w:tc>
          <w:tcPr>
            <w:tcW w:w="0" w:type="auto"/>
            <w:vAlign w:val="center"/>
          </w:tcPr>
          <w:p w14:paraId="0D80D9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cudaEventSynchronize / cuEventSynchronize</w:t>
            </w:r>
          </w:p>
        </w:tc>
        <w:tc>
          <w:tcPr>
            <w:tcW w:w="0" w:type="auto"/>
            <w:vAlign w:val="center"/>
          </w:tcPr>
          <w:p w14:paraId="6A9036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核心支持</w:t>
            </w:r>
          </w:p>
        </w:tc>
        <w:tc>
          <w:tcPr>
            <w:tcW w:w="3532" w:type="dxa"/>
            <w:vAlign w:val="center"/>
          </w:tcPr>
          <w:p w14:paraId="55FBF0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event record 节点的可观察前驱闭包；不自动纳入 record 后 activity</w:t>
            </w:r>
          </w:p>
        </w:tc>
      </w:tr>
      <w:tr w14:paraId="395E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39AE8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同步 copy 或隐式阻塞 API</w:t>
            </w:r>
          </w:p>
        </w:tc>
        <w:tc>
          <w:tcPr>
            <w:tcW w:w="0" w:type="auto"/>
            <w:vAlign w:val="center"/>
          </w:tcPr>
          <w:p w14:paraId="655F4A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同步 D2H copy、资源释放/运行时内部阻塞等</w:t>
            </w:r>
          </w:p>
        </w:tc>
        <w:tc>
          <w:tcPr>
            <w:tcW w:w="0" w:type="auto"/>
            <w:vAlign w:val="center"/>
          </w:tcPr>
          <w:p w14:paraId="4CAA37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纳入 universe；初版可 unsupported</w:t>
            </w:r>
          </w:p>
        </w:tc>
        <w:tc>
          <w:tcPr>
            <w:tcW w:w="3532" w:type="dxa"/>
            <w:vAlign w:val="center"/>
          </w:tcPr>
          <w:p w14:paraId="45D03F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不能证明等待域时完整同步区间进入 A_unattributed，不按普通非阻塞 API 归类</w:t>
            </w:r>
          </w:p>
        </w:tc>
      </w:tr>
      <w:tr w14:paraId="25720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A8432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Query/poll 与异步提交</w:t>
            </w:r>
          </w:p>
        </w:tc>
        <w:tc>
          <w:tcPr>
            <w:tcW w:w="0" w:type="auto"/>
            <w:vAlign w:val="center"/>
          </w:tcPr>
          <w:p w14:paraId="6AC2D5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event query、stream query、kernel/graph launch、async copy</w:t>
            </w:r>
          </w:p>
        </w:tc>
        <w:tc>
          <w:tcPr>
            <w:tcW w:w="0" w:type="auto"/>
            <w:vAlign w:val="center"/>
          </w:tcPr>
          <w:p w14:paraId="504A4E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不自动建立 wait set</w:t>
            </w:r>
          </w:p>
        </w:tc>
        <w:tc>
          <w:tcPr>
            <w:tcW w:w="3532" w:type="dxa"/>
            <w:vAlign w:val="center"/>
          </w:tcPr>
          <w:p w14:paraId="521084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作为 submit/non-submit API 事实保留；只有实际阻塞且 registry 明确时进入 sync universe</w:t>
            </w:r>
          </w:p>
        </w:tc>
      </w:tr>
      <w:tr w14:paraId="429ED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9" w:type="dxa"/>
            <w:vAlign w:val="center"/>
          </w:tcPr>
          <w:p w14:paraId="677AAC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Graph 相关等待</w:t>
            </w:r>
          </w:p>
        </w:tc>
        <w:tc>
          <w:tcPr>
            <w:tcW w:w="2225" w:type="dxa"/>
            <w:vAlign w:val="center"/>
          </w:tcPr>
          <w:p w14:paraId="46B750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graph launch 后由 stream/device/event sync 暴露的等待</w:t>
            </w:r>
          </w:p>
        </w:tc>
        <w:tc>
          <w:tcPr>
            <w:tcW w:w="1246" w:type="dxa"/>
            <w:vAlign w:val="center"/>
          </w:tcPr>
          <w:p w14:paraId="0BE852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按最终 sync 语义处理</w:t>
            </w:r>
          </w:p>
        </w:tc>
        <w:tc>
          <w:tcPr>
            <w:tcW w:w="3532" w:type="dxa"/>
            <w:vAlign w:val="center"/>
          </w:tcPr>
          <w:p w14:paraId="205E87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graph 内映射不足导致 closure 不可恢复时 GRAPH_MAPPING_UNSUPPORTED</w:t>
            </w:r>
          </w:p>
        </w:tc>
      </w:tr>
    </w:tbl>
    <w:p w14:paraId="20B08374">
      <w:pPr>
        <w:pStyle w:val="167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初版允许“不支持但透明”，不允许“未枚举却按普通 CUDA API 处理”。每条 physical blocking sync 必须输出 sync_universe_class、registry_rule_id 和 supported/unsupported/invalid 状态。</w:t>
      </w:r>
    </w:p>
    <w:p w14:paraId="1ADF400D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2.3.4 Stream/event/default-stream dependency closure</w:t>
      </w:r>
    </w:p>
    <w:p w14:paraId="76DBB376">
      <w:pPr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S 不把 stream sync 简化为 activity.stream_id == synchronized_stream_id。分析器在可观察范围内构造依赖图：同 stream 顺序边、event record 前驱边、stream-wait-event 边，以及 registry 明确支持的 default-stream 顺序边。</w:t>
      </w:r>
    </w:p>
    <w:p w14:paraId="3087D993">
      <w:pPr>
        <w:pStyle w:val="169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Pred(s) := 同步完成条件的可观察传递前驱闭包</w:t>
      </w:r>
    </w:p>
    <w:p w14:paraId="5981E6AC">
      <w:pPr>
        <w:pStyle w:val="169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W(s) := {e ∈ Pred_semantic(s) | submission_proven(e,s) ∧ ownership_supported(e,s)}。e.end 与 s.start 的关系用于计算 hidden/exposed 状态，不用于决定 e 是否属于 W(s)。</w:t>
      </w:r>
    </w:p>
    <w:tbl>
      <w:tblPr>
        <w:tblStyle w:val="3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368"/>
        <w:gridCol w:w="4680"/>
      </w:tblGrid>
      <w:tr w14:paraId="5A7BC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74" w:type="dxa"/>
            <w:shd w:val="clear" w:color="auto" w:fill="DDEBF7"/>
            <w:vAlign w:val="center"/>
          </w:tcPr>
          <w:p>
            <w:r>
              <w:rPr/>
              <w:t>同步类别</w:t>
            </w:r>
          </w:p>
        </w:tc>
        <w:tc>
          <w:tcPr>
            <w:tcW w:w="2368" w:type="dxa"/>
            <w:shd w:val="clear" w:color="auto" w:fill="DDEBF7"/>
            <w:vAlign w:val="center"/>
          </w:tcPr>
          <w:p>
            <w:r>
              <w:rPr/>
              <w:t>Pred_semantic(s) 的规则</w:t>
            </w:r>
          </w:p>
        </w:tc>
        <w:tc>
          <w:tcPr>
            <w:tcW w:w="4680" w:type="dxa"/>
            <w:shd w:val="clear" w:color="auto" w:fill="DDEBF7"/>
            <w:vAlign w:val="center"/>
          </w:tcPr>
          <w:p>
            <w:r>
              <w:rPr/>
              <w:t>不能恢复时</w:t>
            </w:r>
          </w:p>
        </w:tc>
      </w:tr>
      <w:tr w14:paraId="2C842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4" w:type="dxa"/>
            <w:vAlign w:val="center"/>
          </w:tcPr>
          <w:p>
            <w:r>
              <w:rPr/>
              <w:t>Stream sync</w:t>
            </w:r>
          </w:p>
        </w:tc>
        <w:tc>
          <w:tcPr>
            <w:tcW w:w="2368" w:type="dxa"/>
            <w:vAlign w:val="center"/>
          </w:tcPr>
          <w:p>
            <w:r>
              <w:rPr/>
              <w:t>目标 stream 在同步前进入排序域的全部请求内工作，以及通过可观察 event/default-stream 关系依赖的传递前驱</w:t>
            </w:r>
          </w:p>
        </w:tc>
        <w:tc>
          <w:tcPr>
            <w:tcW w:w="4680" w:type="dxa"/>
            <w:vAlign w:val="center"/>
          </w:tcPr>
          <w:p>
            <w:r>
              <w:rPr/>
              <w:t>DEPENDENCY_CLOSURE_UNOBSERVABLE</w:t>
            </w:r>
          </w:p>
        </w:tc>
      </w:tr>
      <w:tr w14:paraId="511B9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4" w:type="dxa"/>
            <w:vAlign w:val="center"/>
          </w:tcPr>
          <w:p>
            <w:r>
              <w:rPr/>
              <w:t>Device/context sync</w:t>
            </w:r>
          </w:p>
        </w:tc>
        <w:tc>
          <w:tcPr>
            <w:tcW w:w="2368" w:type="dxa"/>
            <w:vAlign w:val="center"/>
          </w:tcPr>
          <w:p>
            <w:r>
              <w:rPr/>
              <w:t>owned context 内同步前已证明 submitted 的请求内工作，不以 e.end&gt;s.start 过滤</w:t>
            </w:r>
          </w:p>
        </w:tc>
        <w:tc>
          <w:tcPr>
            <w:tcW w:w="4680" w:type="dxa"/>
            <w:vAlign w:val="center"/>
          </w:tcPr>
          <w:p>
            <w:r>
              <w:rPr/>
              <w:t>MULTI_CONTEXT_OWNERSHIP_AMBIGUOUS 或缺失 context</w:t>
            </w:r>
          </w:p>
        </w:tc>
      </w:tr>
      <w:tr w14:paraId="58792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4" w:type="dxa"/>
            <w:vAlign w:val="center"/>
          </w:tcPr>
          <w:p>
            <w:r>
              <w:rPr/>
              <w:t>Event sync</w:t>
            </w:r>
          </w:p>
        </w:tc>
        <w:tc>
          <w:tcPr>
            <w:tcW w:w="2368" w:type="dxa"/>
            <w:vAlign w:val="center"/>
          </w:tcPr>
          <w:p>
            <w:r>
              <w:rPr/>
              <w:t>event record 节点所代表的提交前缀及其可观察前驱；record 后活动不属于该 event 条件</w:t>
            </w:r>
          </w:p>
        </w:tc>
        <w:tc>
          <w:tcPr>
            <w:tcW w:w="4680" w:type="dxa"/>
            <w:vAlign w:val="center"/>
          </w:tcPr>
          <w:p>
            <w:r>
              <w:rPr/>
              <w:t>MISSING_EVENT_RECORD / MISSING_EVENT_ID</w:t>
            </w:r>
          </w:p>
        </w:tc>
      </w:tr>
    </w:tbl>
    <w:p w14:paraId="6D677335">
      <w:pPr>
        <w:pStyle w:val="168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default-stream mode 必须写入 manifest/registry（legacy、per-thread 或明确无隐式依赖）。无法判定时输出 DEFAULT_STREAM_MODE_UNKNOWN。单 GPU 假设不能替代上述多 stream/event 语义。</w:t>
      </w:r>
    </w:p>
    <w:p w14:paraId="4F07CD9A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2.3.5 Wait-set 三态、terminal 与 B 适用状态</w:t>
      </w:r>
    </w:p>
    <w:p w14:paraId="326C4FC4">
      <w:pPr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Validity 至少区分 VALID_NONEMPTY、VALID_EMPTY、AMBIGUOUS 与 INVALID。VALID_EMPTY 只表示不存在请求内、受支持且可归属的语义前驱；相关工作已在 sync.start 前完成时，W(s) 仍然非空，其执行进展记为 hidden，而不是合法空集合。</w:t>
      </w:r>
    </w:p>
    <w:tbl>
      <w:tblPr>
        <w:tblStyle w:val="3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2745"/>
        <w:gridCol w:w="2045"/>
        <w:gridCol w:w="1999"/>
      </w:tblGrid>
      <w:tr w14:paraId="23AF8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wait_set_status</w:t>
            </w:r>
          </w:p>
        </w:tc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W(s)/terminal</w:t>
            </w:r>
          </w:p>
        </w:tc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A 处理</w:t>
            </w:r>
          </w:p>
        </w:tc>
        <w:tc>
          <w:tcPr>
            <w:tcW w:w="1999" w:type="dxa"/>
            <w:shd w:val="clear" w:color="auto" w:fill="DDEBF7"/>
            <w:vAlign w:val="center"/>
          </w:tcPr>
          <w:p>
            <w:r>
              <w:rPr/>
              <w:t>B 处理</w:t>
            </w:r>
          </w:p>
        </w:tc>
      </w:tr>
      <w:tr w14:paraId="3F1A2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VALID_NONEMPTY</w:t>
            </w:r>
          </w:p>
        </w:tc>
        <w:tc>
          <w:tcPr>
            <w:tcW w:w="0" w:type="auto"/>
            <w:vAlign w:val="center"/>
          </w:tcPr>
          <w:p>
            <w:r>
              <w:rPr/>
              <w:t>W(s) 非空；terminal 只有在 completion evidence 唯一时成立</w:t>
            </w:r>
          </w:p>
        </w:tc>
        <w:tc>
          <w:tcPr>
            <w:tcW w:w="0" w:type="auto"/>
            <w:vAlign w:val="center"/>
          </w:tcPr>
          <w:p>
            <w:r>
              <w:rPr/>
              <w:t>用 W(s) 与 sync window 的 interval union 计算 A_device_wait；其余按冻结 residual 规则</w:t>
            </w:r>
          </w:p>
        </w:tc>
        <w:tc>
          <w:tcPr>
            <w:tcW w:w="1999" w:type="dxa"/>
            <w:vAlign w:val="center"/>
          </w:tcPr>
          <w:p>
            <w:r>
              <w:rPr/>
              <w:t>terminal 唯一则 B_VALID，否则转 AMBIGUOUS/INVALID</w:t>
            </w:r>
          </w:p>
        </w:tc>
      </w:tr>
      <w:tr w14:paraId="365CF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VALID_EMPTY</w:t>
            </w:r>
          </w:p>
        </w:tc>
        <w:tc>
          <w:tcPr>
            <w:tcW w:w="0" w:type="auto"/>
            <w:vAlign w:val="center"/>
          </w:tcPr>
          <w:p>
            <w:r>
              <w:rPr/>
              <w:t>没有请求内受支持且可归属的语义前驱；terminal N/A</w:t>
            </w:r>
          </w:p>
        </w:tc>
        <w:tc>
          <w:tcPr>
            <w:tcW w:w="0" w:type="auto"/>
            <w:vAlign w:val="center"/>
          </w:tcPr>
          <w:p>
            <w:r>
              <w:rPr/>
              <w:t>A_device_wait=0；其余按冻结 residual 规则</w:t>
            </w:r>
          </w:p>
        </w:tc>
        <w:tc>
          <w:tcPr>
            <w:tcW w:w="1999" w:type="dxa"/>
            <w:vAlign w:val="center"/>
          </w:tcPr>
          <w:p>
            <w:r>
              <w:rPr/>
              <w:t>B_NOT_APPLICABLE，不伪造 terminal</w:t>
            </w:r>
          </w:p>
        </w:tc>
      </w:tr>
      <w:tr w14:paraId="2A40B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3" w:type="dxa"/>
            <w:vAlign w:val="center"/>
          </w:tcPr>
          <w:p>
            <w:r>
              <w:rPr/>
              <w:t>AMBIGUOUS</w:t>
            </w:r>
          </w:p>
        </w:tc>
        <w:tc>
          <w:tcPr>
            <w:tcW w:w="2745" w:type="dxa"/>
            <w:vAlign w:val="center"/>
          </w:tcPr>
          <w:p>
            <w:r>
              <w:rPr/>
              <w:t>存在多个合理 completion/ownership/terminal 解释</w:t>
            </w:r>
          </w:p>
        </w:tc>
        <w:tc>
          <w:tcPr>
            <w:tcW w:w="2045" w:type="dxa"/>
            <w:vAlign w:val="center"/>
          </w:tcPr>
          <w:p>
            <w:r>
              <w:rPr/>
              <w:t>不转成零值或已知 device wait；进入未知/不归属处理</w:t>
            </w:r>
          </w:p>
        </w:tc>
        <w:tc>
          <w:tcPr>
            <w:tcW w:w="1999" w:type="dxa"/>
            <w:vAlign w:val="center"/>
          </w:tcPr>
          <w:p>
            <w:r>
              <w:rPr/>
              <w:t>B_AMBIGUOUS，保留候选与原因</w:t>
            </w:r>
          </w:p>
        </w:tc>
      </w:tr>
      <w:tr>
        <w:tc>
          <w:tcPr>
            <w:tcW w:type="dxa" w:w="1733"/>
          </w:tcPr>
          <w:p>
            <w:r>
              <w:rPr/>
              <w:t>INVALID</w:t>
            </w:r>
          </w:p>
        </w:tc>
        <w:tc>
          <w:tcPr>
            <w:tcW w:type="dxa" w:w="2745"/>
          </w:tcPr>
          <w:p>
            <w:r>
              <w:rPr/>
              <w:t>必需事实缺失、冲突、dropped 或不满足合同</w:t>
            </w:r>
          </w:p>
        </w:tc>
        <w:tc>
          <w:tcPr>
            <w:tcW w:type="dxa" w:w="2045"/>
          </w:tcPr>
          <w:p>
            <w:r>
              <w:rPr/>
              <w:t>相关区间进入 A_unattributed 或被排除并记录</w:t>
            </w:r>
          </w:p>
        </w:tc>
        <w:tc>
          <w:tcPr>
            <w:tcW w:type="dxa" w:w="1999"/>
          </w:tcPr>
          <w:p>
            <w:r>
              <w:rPr/>
              <w:t>B_INVALID，保留原因</w:t>
            </w:r>
          </w:p>
        </w:tc>
      </w:tr>
    </w:tbl>
    <w:p w14:paraId="7EF3E1D4">
      <w:pPr>
        <w:pStyle w:val="167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最小输出字段必须覆盖 sync identity、completion scope、wait-set identity、terminal evidence、validity/status、ownership 与 reason codes。AMBIGUOUS 与 INVALID 不得静默转成零值；B-valid coverage、有效空集合和拒绝回答的比例分别报告。</w:t>
      </w:r>
    </w:p>
    <w:p w14:paraId="3B870BEB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2.3.6 Request、phase 与 activity ownership</w:t>
      </w:r>
    </w:p>
    <w:p w14:paraId="29839910">
      <w:pPr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区分 activity origin 与 wall-clock exposure owner。activity origin 由 correlated enqueue/launch API 所属 invocation/phase 决定；A 的墙钟归属由原子时间片落入的 request/phase 半开区间 [start,end) 决定。因此允许“Prefill-origin activity 在 Decode 窗口中的有效同步内形成 Decode A_device_wait”，但必须显式标注跨 phase 依赖。</w:t>
      </w:r>
    </w:p>
    <w:p w14:paraId="7D3E26CF">
      <w:pPr>
        <w:pStyle w:val="16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GPU activity 跨 phase 边界时，A 只计当前窗口的区间交集，不把完整 duration 同时归给两个 phase。</w:t>
      </w:r>
    </w:p>
    <w:p w14:paraId="65B23343">
      <w:pPr>
        <w:pStyle w:val="16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sync_owner_phase、activity_origin_phase、terminal_origin_phase 与 cross_phase_dependency 必须写入 per-sync 输出。</w:t>
      </w:r>
    </w:p>
    <w:p w14:paraId="72BDCD03">
      <w:pPr>
        <w:pStyle w:val="16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无法唯一映射到 invocation 的 activity/sync 输出 INVOCATION_OWNERSHIP_AMBIGUOUS；无法确定 phase owner 时输出 PHASE_OWNERSHIP_AMBIGUOUS。</w:t>
      </w:r>
    </w:p>
    <w:p w14:paraId="36E17AE5">
      <w:pPr>
        <w:pStyle w:val="16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前一 invocation 的未完成工作进入当前 invocation 窗口时标记 invocation_bleed；正式质量门通过前不得用于强机制结论。</w:t>
      </w:r>
    </w:p>
    <w:p w14:paraId="56667D3C">
      <w:pPr>
        <w:pStyle w:val="16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batch&gt;1 的 owner 是整次 batched inference invocation；本研究不把 A/B 反事实分摊为单样本因果开销。</w:t>
      </w:r>
    </w:p>
    <w:p w14:paraId="67E160D0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2.3.7 S→A/B 的机器可检查语义不变量</w:t>
      </w:r>
    </w:p>
    <w:p w14:paraId="601E7172">
      <w:pPr>
        <w:pStyle w:val="169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对证据充分的同步：A_device_wait(s)=μ([s.start,s.end) ∩ ⋃e∈W(s)[e.start,e.end))；A_sync_residual(s)=duration(s)−A_device_wait(s)。μ 表示 interval union 墙钟长度；同步前已完成成员仍保留在 W(s)，但对该 sync 的暴露交集可以为 0。</w:t>
      </w:r>
    </w:p>
    <w:p w14:paraId="76B68C35">
      <w:pPr>
        <w:pStyle w:val="169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对 VALID_EMPTY，同步确无请求内受支持前驱，A_device_wait=0；对 AMBIGUOUS/INVALID，相关同步区间进入 A_unattributed 或合同指定的未知类别，不能为闭合塞入 A_host_path。具体 residual 规则由 Measurement Contract 冻结。</w:t>
      </w:r>
    </w:p>
    <w:p w14:paraId="569427A3">
      <w:pPr>
        <w:pStyle w:val="168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B 仅对单次同步解释 terminal 的 pre-sync hidden progress、sync-overlap 与 return tail；B 不跨 sync 求和，不加入 A 墙钟预算，也不把 terminal total duration 称为同步阻塞。sync_return_tail 是保守尾部，不自动解释为 runtime overhead。</w:t>
      </w:r>
    </w:p>
    <w:p w14:paraId="7160E219">
      <w:pPr>
        <w:pStyle w:val="16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禁止把所有 terminal_exec_overlap_sync 跨 sync 求和并替代 A_device_wait。</w:t>
      </w:r>
    </w:p>
    <w:p w14:paraId="2A3D5603">
      <w:pPr>
        <w:pStyle w:val="16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禁止把 B 指标再次加到 A 上，或用 ΣΔA≈ΔT 代替语义正确性证明。</w:t>
      </w:r>
    </w:p>
    <w:p w14:paraId="56CB7228">
      <w:pPr>
        <w:pStyle w:val="16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分析器必须输出分区互斥/守恒、B 不进入 A 预算、completed-before-sync 成员保留、无关重叠排除、validity 传播和 invalid-sync 不归 Host 等机器可检查 QA 字段；字段名以 Measurement Contract 的冻结 schema 为准。</w:t>
      </w:r>
    </w:p>
    <w:p w14:paraId="139D4BBC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2.3.8 Fail-closed reason taxonomy 与判定优先级</w:t>
      </w:r>
    </w:p>
    <w:p w14:paraId="7BD2ACBC">
      <w:pPr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invalid_reason 是 correctness contract 的正式输出，不是调试字符串。registry v0.x 至少冻结以下枚举，并允许通过版本化 registry 追加，禁止静默改名或合并。</w:t>
      </w:r>
    </w:p>
    <w:tbl>
      <w:tblPr>
        <w:tblStyle w:val="3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4461"/>
        <w:gridCol w:w="2489"/>
      </w:tblGrid>
      <w:tr w14:paraId="14D2D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 w14:paraId="0807BB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层级</w:t>
            </w:r>
          </w:p>
        </w:tc>
        <w:tc>
          <w:tcPr>
            <w:tcW w:w="3626" w:type="dxa"/>
            <w:shd w:val="clear" w:color="auto" w:fill="DDEBF7"/>
            <w:vAlign w:val="center"/>
          </w:tcPr>
          <w:p w14:paraId="444F9C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primaryinvalidreason示例</w:t>
            </w:r>
          </w:p>
        </w:tc>
        <w:tc>
          <w:tcPr>
            <w:tcW w:w="3324" w:type="dxa"/>
            <w:shd w:val="clear" w:color="auto" w:fill="DDEBF7"/>
            <w:vAlign w:val="center"/>
          </w:tcPr>
          <w:p w14:paraId="09CCA3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说明</w:t>
            </w:r>
          </w:p>
        </w:tc>
      </w:tr>
      <w:tr w14:paraId="1D50F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3F252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Trace 完整性</w:t>
            </w:r>
          </w:p>
        </w:tc>
        <w:tc>
          <w:tcPr>
            <w:tcW w:w="3626" w:type="dxa"/>
            <w:vAlign w:val="center"/>
          </w:tcPr>
          <w:p w14:paraId="17FEBA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TRACE_DROPPED、CLOCK_ORDER_INVALID、ACTIVITY_OUT_OF_WINDOW</w:t>
            </w:r>
          </w:p>
        </w:tc>
        <w:tc>
          <w:tcPr>
            <w:tcW w:w="3324" w:type="dxa"/>
            <w:vAlign w:val="center"/>
          </w:tcPr>
          <w:p w14:paraId="643BCC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原始事实不完整或时间顺序非法</w:t>
            </w:r>
          </w:p>
        </w:tc>
      </w:tr>
      <w:tr w14:paraId="400B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AFF90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Ownership</w:t>
            </w:r>
          </w:p>
        </w:tc>
        <w:tc>
          <w:tcPr>
            <w:tcW w:w="3626" w:type="dxa"/>
            <w:vAlign w:val="center"/>
          </w:tcPr>
          <w:p w14:paraId="4ACF65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INVOCATION_OWNERSHIP_AMBIGUOUS、PHASE_OWNERSHIP_AMBIGUOUS、MULTI_CONTEXT_OWNERSHIP_AMBIGUOUS</w:t>
            </w:r>
          </w:p>
        </w:tc>
        <w:tc>
          <w:tcPr>
            <w:tcW w:w="3324" w:type="dxa"/>
            <w:vAlign w:val="center"/>
          </w:tcPr>
          <w:p w14:paraId="6B2EDD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请求、阶段或 context 归属不能唯一恢复</w:t>
            </w:r>
          </w:p>
        </w:tc>
      </w:tr>
      <w:tr w14:paraId="33390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5B47E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支持性</w:t>
            </w:r>
          </w:p>
        </w:tc>
        <w:tc>
          <w:tcPr>
            <w:tcW w:w="3626" w:type="dxa"/>
            <w:vAlign w:val="center"/>
          </w:tcPr>
          <w:p w14:paraId="5C8FB2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UNSUPPORTED_SYNC_API、GRAPH_MAPPING_UNSUPPORTED、DEFAULT_STREAM_MODE_UNKNOWN</w:t>
            </w:r>
          </w:p>
        </w:tc>
        <w:tc>
          <w:tcPr>
            <w:tcW w:w="3324" w:type="dxa"/>
            <w:vAlign w:val="center"/>
          </w:tcPr>
          <w:p w14:paraId="6F201C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registry 未声明可恢复该语义</w:t>
            </w:r>
          </w:p>
        </w:tc>
      </w:tr>
      <w:tr w14:paraId="6CF6B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53247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Mapping</w:t>
            </w:r>
          </w:p>
        </w:tc>
        <w:tc>
          <w:tcPr>
            <w:tcW w:w="3626" w:type="dxa"/>
            <w:vAlign w:val="center"/>
          </w:tcPr>
          <w:p w14:paraId="49C975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MISSING_CONTEXT_ID、MISSING_STREAM_ID、MISSING_EVENT_ID、MISSING_EVENT_RECORD、MISSING_ACTIVITY_CORRELATION</w:t>
            </w:r>
          </w:p>
        </w:tc>
        <w:tc>
          <w:tcPr>
            <w:tcW w:w="3324" w:type="dxa"/>
            <w:vAlign w:val="center"/>
          </w:tcPr>
          <w:p w14:paraId="325081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恢复等待域所需映射缺失</w:t>
            </w:r>
          </w:p>
        </w:tc>
      </w:tr>
      <w:tr w14:paraId="14B8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A5ECD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Ordering/closure</w:t>
            </w:r>
          </w:p>
        </w:tc>
        <w:tc>
          <w:tcPr>
            <w:tcW w:w="3626" w:type="dxa"/>
            <w:vAlign w:val="center"/>
          </w:tcPr>
          <w:p w14:paraId="75CC31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SUBMISSION_ORDER_AMBIGUOUS、DEPENDENCY_CLOSURE_UNOBSERVABLE</w:t>
            </w:r>
          </w:p>
        </w:tc>
        <w:tc>
          <w:tcPr>
            <w:tcW w:w="3324" w:type="dxa"/>
            <w:vAlign w:val="center"/>
          </w:tcPr>
          <w:p w14:paraId="65E9F8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成员资格或传递前驱无法证明</w:t>
            </w:r>
          </w:p>
        </w:tc>
      </w:tr>
      <w:tr w14:paraId="01A3B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2" w:type="dxa"/>
            <w:vAlign w:val="center"/>
          </w:tcPr>
          <w:p w14:paraId="0E6517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Terminal/B</w:t>
            </w:r>
          </w:p>
        </w:tc>
        <w:tc>
          <w:tcPr>
            <w:tcW w:w="3626" w:type="dxa"/>
            <w:vAlign w:val="center"/>
          </w:tcPr>
          <w:p w14:paraId="75C4BC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TERMINAL_NOT_UNIQUE、TERMINAL_ORDER_INVALID</w:t>
            </w:r>
          </w:p>
        </w:tc>
        <w:tc>
          <w:tcPr>
            <w:tcW w:w="3324" w:type="dxa"/>
            <w:vAlign w:val="center"/>
          </w:tcPr>
          <w:p w14:paraId="76FA3D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wait set 可存在，但 terminal/B 无法可靠解释</w:t>
            </w:r>
          </w:p>
        </w:tc>
      </w:tr>
    </w:tbl>
    <w:p w14:paraId="34ADD5E9">
      <w:pPr>
        <w:pStyle w:val="167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Reason taxonomy 至少覆盖 trace 完整性、ownership、支持性、mapping、submission/closure 与 terminal 证据。primary/secondary reason 的优先级必须版本化；coverage 同时按 count、sync duration 和 B-valid duration 报告。</w:t>
      </w:r>
    </w:p>
    <w:p w14:paraId="0264D06B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2.3.9 Semantic Freeze 与 Pilot 的边界</w:t>
      </w:r>
    </w:p>
    <w:p w14:paraId="5C5C762A">
      <w:pPr>
        <w:pStyle w:val="167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本增补现在冻结“定义、状态、恢复/拒绝规则与 Q0 资格对象”；timestamp tolerance、A_unattributed 上限、supported duration coverage、B-valid coverage、repeat 数、profiler overhead、N1 等价带、C1 capture/graph-break 门槛与共同显存可行域仍由 Pilot 数据冻结。不得在 Pre-Pilot 阶段凭经验填写有利阈值。</w:t>
      </w:r>
    </w:p>
    <w:p w14:paraId="7B572FAC">
      <w:pPr>
        <w:pStyle w:val="168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第 0 步退出条件：任意 sync 均能确定其 universe 类别、所需事实、wait-set 状态、dependency closure、ownership、A/B 输出与 invalid reason；每条规则在实验协议中存在对应 Q0 case/oracle 字段。满足后立即进入 Q0/Pilot，不再扩大研究背景或可选实验范围。</w:t>
      </w:r>
    </w:p>
    <w:p w14:paraId="79D2455B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2.4 A 层：互斥守恒墙钟</w:t>
      </w:r>
    </w:p>
    <w:p w14:paraId="3D3DED53">
      <w:pPr>
        <w:pStyle w:val="169"/>
        <w:shd w:val="clear" w:fill="F3F5F7"/>
        <w:jc w:val="center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T_window = A_host_path + A_cuda_api + A_device_wait + A_sync_residual + A_unattributed</w:t>
      </w:r>
    </w:p>
    <w:p w14:paraId="21F39057">
      <w:pPr>
        <w:pStyle w:val="168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A 类是 invocation 墙钟的互斥记账归属，不是反事实可消除时延。某一 A 类绝对值较高，只表示该类 owner 在记账优先级下占有较多墙钟；不能单独推出缩短该类活动可获得等量 E2E 收益。</w:t>
      </w:r>
    </w:p>
    <w:tbl>
      <w:tblPr>
        <w:tblStyle w:val="34"/>
        <w:tblW w:w="84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3808"/>
        <w:gridCol w:w="3355"/>
      </w:tblGrid>
      <w:tr w14:paraId="3591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8442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指标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26612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严格定义</w:t>
            </w:r>
          </w:p>
        </w:tc>
        <w:tc>
          <w:tcPr>
            <w:tcW w:w="3355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E1EC4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解释边界</w:t>
            </w:r>
          </w:p>
        </w:tc>
      </w:tr>
      <w:tr w14:paraId="2542D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75D7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  <w:highlight w:val="none"/>
              </w:rPr>
            </w:pPr>
            <w:r>
              <w:rPr>
                <w:rFonts w:ascii="Times New Roman" w:hAnsi="Times New Roman" w:eastAsia="宋体"/>
                <w:sz w:val="17"/>
              </w:rPr>
              <w:t>A_host_path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4EC7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  <w:highlight w:val="none"/>
              </w:rPr>
            </w:pPr>
            <w:r>
              <w:rPr>
                <w:rFonts w:ascii="Times New Roman" w:hAnsi="Times New Roman" w:eastAsia="宋体"/>
                <w:sz w:val="17"/>
              </w:rPr>
              <w:t>在 invocation/request-owner 与时间边界证据成立时，排除 A_unattributed、有效同步的 A_device_wait/A_sync_residual 以及请求相关 A_cuda_api 后，剩余的 Host/CPU 请求推进墙钟路径。</w:t>
            </w:r>
          </w:p>
        </w:tc>
        <w:tc>
          <w:tcPr>
            <w:tcW w:w="33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13167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  <w:highlight w:val="none"/>
              </w:rPr>
            </w:pPr>
            <w:r>
              <w:rPr>
                <w:rFonts w:ascii="Times New Roman" w:hAnsi="Times New Roman" w:eastAsia="宋体"/>
                <w:sz w:val="17"/>
              </w:rPr>
              <w:t>采用方案 A 的剩余型 accounting category：可包含框架控制、CPU 计算、sampling、线程同步、调度/抢占和其他 Host 路径；不等价于 CPU busy time，也不声称已恢复每段 CPU 根因。证据不足、ownership 歧义或 unsupported 区间必须先进入 A_unattributed，不能为闭合而塞入 Host。</w:t>
            </w:r>
          </w:p>
        </w:tc>
      </w:tr>
      <w:tr w14:paraId="352B9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BBF7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A_cuda_api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E9E17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请求推进路径上由 CUDA runtime/driver API 占有的互斥墙钟；阻塞 sync 的完整 duration 不直接全算入此类。</w:t>
            </w:r>
          </w:p>
        </w:tc>
        <w:tc>
          <w:tcPr>
            <w:tcW w:w="335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82D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衡量 CUDA 提交、查询和资源管理等 API 对 invocation 墙钟的互斥记账占有；是否位于关键路径、能否转化为 E2E 收益，需要结合 temporal overlap、具体 correlation 和受控实验判断。</w:t>
            </w:r>
          </w:p>
        </w:tc>
      </w:tr>
      <w:tr w14:paraId="220F3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0879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A_device_wait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7AF9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Host 正在等待请求完成条件，且该 sync 的有效 wait-set 中存在 GPU kernel 或显式 MemOp 执行的互斥墙钟。</w:t>
            </w:r>
          </w:p>
        </w:tc>
        <w:tc>
          <w:tcPr>
            <w:tcW w:w="33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2DB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表示调用者等待期间真正由设备活动占据的时间；不是全部 raw kernel duration。</w:t>
            </w:r>
          </w:p>
        </w:tc>
      </w:tr>
      <w:tr w14:paraId="370D4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352BF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A_sync_residual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03B1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有效 sync 区间内未被 wait-set device activity 覆盖、但仍由该同步调用占有的剩余墙钟。</w:t>
            </w:r>
          </w:p>
        </w:tc>
        <w:tc>
          <w:tcPr>
            <w:tcW w:w="335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C44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作为同步残余的保守统计；不进一步强制拆为 gap/return tail，也不能直接称为“冗余同步开销”。</w:t>
            </w:r>
          </w:p>
        </w:tc>
      </w:tr>
      <w:tr w14:paraId="77674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F75FA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A_unattributed</w:t>
            </w:r>
          </w:p>
        </w:tc>
        <w:tc>
          <w:tcPr>
            <w:tcW w:w="38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61BA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因边界、归属、correlation、wait-set 或时间证据不足，以及 invalid/unsupported sync 而不能可靠归属的时间。</w:t>
            </w:r>
          </w:p>
        </w:tc>
        <w:tc>
          <w:tcPr>
            <w:tcW w:w="33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42A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诚实呈现观测缺口；比例过高时该配置不能用于强机制结论。</w:t>
            </w:r>
          </w:p>
        </w:tc>
      </w:tr>
    </w:tbl>
    <w:p w14:paraId="585C3441">
      <w:pPr>
        <w:spacing w:after="20"/>
        <w:rPr>
          <w:rFonts w:ascii="Times New Roman" w:hAnsi="Times New Roman" w:eastAsia="宋体"/>
        </w:rPr>
      </w:pPr>
    </w:p>
    <w:p w14:paraId="28D544A4">
      <w:pPr>
        <w:pStyle w:val="5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2.4.0 A_host_path 的剩余型定义、正确解释与开放问题</w:t>
      </w:r>
    </w:p>
    <w:p w14:paraId="545E53C0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本研究保留字段名 A_host_path，但明确采用方案 A：它是请求 Host 路径上的剩余型墙钟记账类别，而不是由独立 CPU 计数器直接观测到的 busy time。顶层 A 闭合因此属于分区定义与实现不变量，不能单独证明各类别语义正确。</w:t>
      </w:r>
    </w:p>
    <w:p w14:paraId="10C4860E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A_host_path 只有在 invocation ownership、边界和请求推进路径可确认时才接收剩余时间；missing mapping、unsupported sync、多 context ownership 歧义或其他证据不足区间优先进入 A_unattributed。这样可以避免用 Host 补集掩盖观测缺口。</w:t>
      </w:r>
    </w:p>
    <w:p w14:paraId="039137E1">
      <w:pPr>
        <w:pStyle w:val="16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进一步区分 Python/framework 执行、CPU 计算、线程等待、调度抢占和运行时内部状态，需要额外的线程状态、CPU sampling 或更细 Host instrumentation。该问题作为本文明确抛出的 CPU 侧剩余路径去卷积难题，而不在当前核心矩阵中强行解决。</w:t>
      </w:r>
    </w:p>
    <w:p w14:paraId="4B7C21E4">
      <w:pPr>
        <w:pStyle w:val="5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A 类原子时间片的确定性归属优先级</w:t>
      </w:r>
    </w:p>
    <w:p w14:paraId="3EF2D35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分析器先按 invocation、CUDA API、sync 与 device activity 的全部边界切分原子时间片，再依次归属：① invalid/unsupported sync 或 ownership/wait-set 证据不足 → A_unattributed；② valid sync 且 wait-set device activity 正在执行 → A_device_wait；③ valid sync 的其余时间 → A_sync_residual；④ 其余 invocation 相关非阻塞 CUDA API → A_cuda_api；⑤ 其余可归属 Host/CPU 请求推进路径 → A_host_path；剩余证据不足时间 → A_unattributed。该规则对墙钟区间并集执行，不把多线程 duration 直接相加。</w:t>
      </w:r>
    </w:p>
    <w:p w14:paraId="1646EAAC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A 类二级指标只在所属一级 A 类内部继续互斥划分，不新增墙钟预算，也不改变顶层 A 类守恒。</w:t>
      </w:r>
    </w:p>
    <w:p w14:paraId="2443C954">
      <w:pPr>
        <w:pStyle w:val="5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A_cuda_api 二级指标</w:t>
      </w:r>
    </w:p>
    <w:p w14:paraId="66D2C492">
      <w:pPr>
        <w:pStyle w:val="169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A_cuda_api_ms = A_cuda_api_submit_ms + A_cuda_api_non_submit_ms</w:t>
      </w:r>
    </w:p>
    <w:tbl>
      <w:tblPr>
        <w:tblStyle w:val="3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1"/>
        <w:gridCol w:w="2944"/>
        <w:gridCol w:w="3017"/>
      </w:tblGrid>
      <w:tr w14:paraId="66E1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8B6C8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</w:rPr>
              <w:t>正式字段</w:t>
            </w:r>
          </w:p>
        </w:tc>
        <w:tc>
          <w:tcPr>
            <w:tcW w:w="2944" w:type="dxa"/>
            <w:vAlign w:val="center"/>
          </w:tcPr>
          <w:p w14:paraId="49FAD8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</w:rPr>
              <w:t>严格定义</w:t>
            </w:r>
          </w:p>
        </w:tc>
        <w:tc>
          <w:tcPr>
            <w:tcW w:w="3017" w:type="dxa"/>
            <w:vAlign w:val="center"/>
          </w:tcPr>
          <w:p w14:paraId="4AAE23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</w:rPr>
              <w:t>解释边界</w:t>
            </w:r>
          </w:p>
        </w:tc>
      </w:tr>
      <w:tr w14:paraId="7B6A4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06F4F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A_cuda_api_submit_ms</w:t>
            </w:r>
          </w:p>
        </w:tc>
        <w:tc>
          <w:tcPr>
            <w:tcW w:w="2944" w:type="dxa"/>
            <w:vAlign w:val="center"/>
          </w:tcPr>
          <w:p w14:paraId="09C23D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A_cuda_api 中用于 kernel launch、memcpy/memset enqueue、graph launch 等提交设备工作的时间片。</w:t>
            </w:r>
          </w:p>
        </w:tc>
        <w:tc>
          <w:tcPr>
            <w:tcW w:w="3017" w:type="dxa"/>
            <w:vAlign w:val="center"/>
          </w:tcPr>
          <w:p w14:paraId="10B0E9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描述 invocation 墙钟中由 submit-class CUDA API 占有的时间；不假设 GPU 必须在 API 返回后才开始，也不能单独解释为 GPU 被 Host launch 阻塞。</w:t>
            </w:r>
          </w:p>
        </w:tc>
      </w:tr>
      <w:tr w14:paraId="76304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61" w:type="dxa"/>
            <w:vAlign w:val="center"/>
          </w:tcPr>
          <w:p w14:paraId="6C2FD7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A_cuda_api_non_submit_ms</w:t>
            </w:r>
          </w:p>
        </w:tc>
        <w:tc>
          <w:tcPr>
            <w:tcW w:w="2944" w:type="dxa"/>
            <w:vAlign w:val="center"/>
          </w:tcPr>
          <w:p w14:paraId="225391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A_cuda_api 中除设备工作提交外的 API 时间，如查询、资源管理、event/stream 管理和其他 runtime/driver 调用。</w:t>
            </w:r>
          </w:p>
        </w:tc>
        <w:tc>
          <w:tcPr>
            <w:tcW w:w="3017" w:type="dxa"/>
            <w:vAlign w:val="center"/>
          </w:tcPr>
          <w:p w14:paraId="6373AE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区分“提交过多”与“非提交 API 路径”问题。</w:t>
            </w:r>
          </w:p>
        </w:tc>
      </w:tr>
    </w:tbl>
    <w:p w14:paraId="3E182C24">
      <w:pPr>
        <w:pStyle w:val="5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A_device_wait 二级指标</w:t>
      </w:r>
    </w:p>
    <w:p w14:paraId="4377223D">
      <w:pPr>
        <w:pStyle w:val="169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A_device_wait_ms = A_device_wait_kernel_only_ms + A_device_wait_memop_only_ms + A_device_wait_kernel_memop_mixed_ms</w:t>
      </w:r>
    </w:p>
    <w:p w14:paraId="4A96AF5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三类指标按有效 wait-set 中被等待 kernel 与显式 MemOp 的并发状态切分原子墙钟片段。每类同时报告绝对时长、占 phase 墙钟比例 pct_phase，以及占 A_device_wait 的内部 share；显式 MemOp 不包括 kernel 内部的显存读写。</w:t>
      </w:r>
    </w:p>
    <w:p w14:paraId="0CE30A14">
      <w:pPr>
        <w:pStyle w:val="5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2.4.1 A_device_wait 的解释边界与设备侧辅助证据</w:t>
      </w:r>
    </w:p>
    <w:p w14:paraId="3E564C8F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A_device_wait 表示有效同步等待期间，wait set 中 GPU activity 与 Host 墙钟重叠区间的 interval union。它回答“设备执行有多少暴露在同步等待中”，但不自动等价于显存带宽瓶颈、计算瓶颈、KV Cache 瓶颈或某一类 warp stall。设备执行为什么耗时，应由 Nsight Compute、Roofline、kernel mix 或硬件分析模型在少量代表配置上提供辅助证据。两类证据互补，不得由 A_device_wait 单独推出微架构根因。</w:t>
      </w:r>
    </w:p>
    <w:p w14:paraId="69FE39AE">
      <w:pPr>
        <w:pStyle w:val="5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2.4.2 D 的导航作用与 Exposure Signature</w:t>
      </w:r>
    </w:p>
    <w:p>
      <w:pPr/>
      <w:r>
        <w:rPr>
          <w:color w:val="000000"/>
        </w:rPr>
        <w:t>Exposure Signature = {Host path，CUDA submit，CUDA non-submit，device-wait kernel/MemOp/mixed，B hidden/exposed/terminal provenance}。它是冻结 A/B 的机制摘要，不增加新的墙钟预算。</w:t>
      </w:r>
    </w:p>
    <w:p w14:paraId="6B809ABA">
      <w:pPr>
        <w:pStyle w:val="169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D_margin,φ = A_device_wait_ms − (A_host_path_ms + A_cuda_api_ms)</w:t>
      </w:r>
    </w:p>
    <w:p w14:paraId="76F46A0E">
      <w:pPr>
        <w:pStyle w:val="169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D_score,φ = D_margin,φ / (A_device_wait_ms + A_host_path_ms + A_cuda_api_ms)</w:t>
      </w:r>
    </w:p>
    <w:p w14:paraId="137C9F1A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 是 A 的派生比较量，不新增墙钟预算，也不表示可消除 speedup。D_margin 保留毫秒量级，D_score 用于跨 W/M/P/C 比较；二者均在 repeat/phase 层先计算，再聚合。</w:t>
      </w:r>
    </w:p>
    <w:p w14:paraId="05E985E5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条件化迁移报告至少包括：每个 WMPC 的 D_score 均值与 95% CI、固定两个 W 后沿第三个 W 展开的趋势曲线、input×batch 或其他预定义二维网格的无插值热图，以及五类 A 的绝对值和 phase share。只有通过 A 守恒、A_unattributed、sync 支持覆盖和时间边界验收的 repeat 才进入 D 的强结论。</w:t>
      </w:r>
    </w:p>
    <w:p w14:paraId="51B3B159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 只用于定位 Host/API 与 device-wait 的主导区域，不能证明 CPU/GPU 硬件根因或可实现 speedup。核心解释必须继续下钻到 A 二级组成、per-sync W(s)/B provenance 和必要的代表 activity 审计；Exposure Signature 只能由冻结后的 A/B 字段派生。</w:t>
      </w:r>
    </w:p>
    <w:tbl>
      <w:tblPr>
        <w:tblStyle w:val="3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3"/>
        <w:gridCol w:w="2581"/>
        <w:gridCol w:w="2088"/>
      </w:tblGrid>
      <w:tr w14:paraId="2ADEA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853" w:type="dxa"/>
            <w:vAlign w:val="center"/>
          </w:tcPr>
          <w:p w14:paraId="0DB033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</w:rPr>
              <w:t>正式字段</w:t>
            </w:r>
          </w:p>
        </w:tc>
        <w:tc>
          <w:tcPr>
            <w:tcW w:w="2581" w:type="dxa"/>
            <w:vAlign w:val="center"/>
          </w:tcPr>
          <w:p w14:paraId="016CE1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</w:rPr>
              <w:t>严格定义</w:t>
            </w:r>
          </w:p>
        </w:tc>
        <w:tc>
          <w:tcPr>
            <w:tcW w:w="2088" w:type="dxa"/>
            <w:vAlign w:val="center"/>
          </w:tcPr>
          <w:p w14:paraId="77246D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</w:rPr>
              <w:t>解释边界</w:t>
            </w:r>
          </w:p>
        </w:tc>
      </w:tr>
      <w:tr w14:paraId="2F719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53" w:type="dxa"/>
            <w:vAlign w:val="center"/>
          </w:tcPr>
          <w:p w14:paraId="689D72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A_device_wait_kernel_only_ms / pct_phase / share</w:t>
            </w:r>
          </w:p>
        </w:tc>
        <w:tc>
          <w:tcPr>
            <w:tcW w:w="2581" w:type="dxa"/>
            <w:vAlign w:val="center"/>
          </w:tcPr>
          <w:p w14:paraId="0DBE73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有效 sync wait-set 内的原子墙钟片段中，至少一个被等待 kernel 正在执行且没有被等待显式 MemOp 执行。</w:t>
            </w:r>
          </w:p>
        </w:tc>
        <w:tc>
          <w:tcPr>
            <w:tcW w:w="2088" w:type="dxa"/>
            <w:vAlign w:val="center"/>
          </w:tcPr>
          <w:p w14:paraId="2CAE55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刻画同步暴露等待中的纯 kernel 执行构成；不能由 terminal_type 推断。</w:t>
            </w:r>
          </w:p>
        </w:tc>
      </w:tr>
      <w:tr w14:paraId="45816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53" w:type="dxa"/>
            <w:vAlign w:val="center"/>
          </w:tcPr>
          <w:p w14:paraId="3E74CC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A_device_wait_memop_only_ms / pct_phase / share</w:t>
            </w:r>
          </w:p>
        </w:tc>
        <w:tc>
          <w:tcPr>
            <w:tcW w:w="2581" w:type="dxa"/>
            <w:vAlign w:val="center"/>
          </w:tcPr>
          <w:p w14:paraId="6BF591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有效 sync wait-set 内，仅有被等待显式 memcpy/memset 等 MemOp 执行、没有被等待 kernel 执行。</w:t>
            </w:r>
          </w:p>
        </w:tc>
        <w:tc>
          <w:tcPr>
            <w:tcW w:w="2088" w:type="dxa"/>
            <w:vAlign w:val="center"/>
          </w:tcPr>
          <w:p w14:paraId="700135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刻画纯显式数据操作暴露等待；MemOp 不包括 kernel 内部 HBM/显存访问。</w:t>
            </w:r>
          </w:p>
        </w:tc>
      </w:tr>
      <w:tr w14:paraId="357AA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53" w:type="dxa"/>
            <w:vAlign w:val="center"/>
          </w:tcPr>
          <w:p w14:paraId="28411B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A_device_wait_kernel_memop_mixed_ms / pct_phase / share</w:t>
            </w:r>
          </w:p>
        </w:tc>
        <w:tc>
          <w:tcPr>
            <w:tcW w:w="2581" w:type="dxa"/>
            <w:vAlign w:val="center"/>
          </w:tcPr>
          <w:p w14:paraId="332C38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有效 sync wait-set 内，被等待 kernel 与显式 MemOp 同时执行的原子墙钟片段。</w:t>
            </w:r>
          </w:p>
        </w:tc>
        <w:tc>
          <w:tcPr>
            <w:tcW w:w="2088" w:type="dxa"/>
            <w:vAlign w:val="center"/>
          </w:tcPr>
          <w:p w14:paraId="629D71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保留计算与显式数据操作重叠，避免因最终 terminal 类型而错误吞并 mixed 时间。</w:t>
            </w:r>
          </w:p>
        </w:tc>
      </w:tr>
    </w:tbl>
    <w:p w14:paraId="34D41C7A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2.5 时间重叠辅助指标：只表示同时发生，不表示依赖或因果</w:t>
      </w:r>
    </w:p>
    <w:p w14:paraId="02534163">
      <w:pPr>
        <w:pStyle w:val="169"/>
        <w:shd w:val="clear" w:fill="F3F5F7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0"/>
        </w:rPr>
        <w:t>G_invocation_any = invocation 内所有归属明确的 kernel 与显式 MemOp 区间并集</w:t>
      </w:r>
    </w:p>
    <w:p w14:paraId="628A291E">
      <w:pPr>
        <w:pStyle w:val="169"/>
        <w:shd w:val="clear" w:fill="F3F5F7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0"/>
        </w:rPr>
        <w:t>O_api_gpu_temporal = |I(A_cuda_api) ∩ G_invocation_any| / |I(A_cuda_api)|</w:t>
      </w:r>
    </w:p>
    <w:p w14:paraId="349F373E">
      <w:pPr>
        <w:pStyle w:val="169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O_hostpath_gpu_temporal = |I(A_host_path) ∩ G_invocation_any| / |I(A_host_path)|</w:t>
      </w:r>
    </w:p>
    <w:p w14:paraId="4E820C5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两个 temporal overlap 指标不使用 API↔GPU correlation，也不使用 sync wait-set。重叠 GPU activity 可能由其他 API 提交、位于其他 stream，或与当前 Host 区间没有直接依赖关系。因此它们只能刻画 phase 级时间并发，不能证明依赖、因果、关键路径覆盖或优化收益。</w:t>
      </w:r>
    </w:p>
    <w:tbl>
      <w:tblPr>
        <w:tblStyle w:val="34"/>
        <w:tblW w:w="84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925"/>
        <w:gridCol w:w="3109"/>
      </w:tblGrid>
      <w:tr w14:paraId="163D8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80B1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指标高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CCCC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正确解释</w:t>
            </w:r>
          </w:p>
        </w:tc>
        <w:tc>
          <w:tcPr>
            <w:tcW w:w="3109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B562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不能解释为</w:t>
            </w:r>
          </w:p>
        </w:tc>
      </w:tr>
      <w:tr w14:paraId="1EB1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43653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O_api_gpu_temporal 高</w:t>
            </w:r>
          </w:p>
        </w:tc>
        <w:tc>
          <w:tcPr>
            <w:tcW w:w="0" w:type="auto"/>
            <w:vAlign w:val="center"/>
          </w:tcPr>
          <w:p w14:paraId="696DED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A_cuda_api 与 invocation 内某些 GPU activity 在时间上同时发生较多。</w:t>
            </w:r>
          </w:p>
        </w:tc>
        <w:tc>
          <w:tcPr>
            <w:tcW w:w="3109" w:type="dxa"/>
            <w:vAlign w:val="center"/>
          </w:tcPr>
          <w:p w14:paraId="3F3380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重叠 GPU activity 由该 API 启动；API 已被自身相关工作隐藏；API 不在关键路径。</w:t>
            </w:r>
          </w:p>
        </w:tc>
      </w:tr>
      <w:tr w14:paraId="62E63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C5DBD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O_hostpath_gpu_temporal 高</w:t>
            </w:r>
          </w:p>
        </w:tc>
        <w:tc>
          <w:tcPr>
            <w:tcW w:w="0" w:type="auto"/>
            <w:vAlign w:val="center"/>
          </w:tcPr>
          <w:p w14:paraId="570E43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A_host_path 与 invocation 内某些 GPU activity 的时间并发较多。</w:t>
            </w:r>
          </w:p>
        </w:tc>
        <w:tc>
          <w:tcPr>
            <w:tcW w:w="3109" w:type="dxa"/>
            <w:vAlign w:val="center"/>
          </w:tcPr>
          <w:p w14:paraId="17CD6E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Host path 与重叠 GPU activity 存在直接 pipeline 依赖；Host path 一定不重要。</w:t>
            </w:r>
          </w:p>
        </w:tc>
      </w:tr>
      <w:tr w14:paraId="61ABB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2" w:type="dxa"/>
            <w:vAlign w:val="center"/>
          </w:tcPr>
          <w:p w14:paraId="15555C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两者都低</w:t>
            </w:r>
          </w:p>
        </w:tc>
        <w:tc>
          <w:tcPr>
            <w:tcW w:w="2925" w:type="dxa"/>
            <w:vAlign w:val="center"/>
          </w:tcPr>
          <w:p w14:paraId="5B21E1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Host owner 区间与 GPU activity 的时间并发较少。</w:t>
            </w:r>
          </w:p>
        </w:tc>
        <w:tc>
          <w:tcPr>
            <w:tcW w:w="3109" w:type="dxa"/>
            <w:vAlign w:val="center"/>
          </w:tcPr>
          <w:p w14:paraId="7D4771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一定由 CPU 性能不足导致，或一定属于 CPU-bound。</w:t>
            </w:r>
          </w:p>
        </w:tc>
      </w:tr>
    </w:tbl>
    <w:p w14:paraId="16447EF1">
      <w:pPr>
        <w:spacing w:after="20"/>
        <w:rPr>
          <w:rFonts w:ascii="Times New Roman" w:hAnsi="Times New Roman" w:eastAsia="宋体"/>
        </w:rPr>
      </w:pPr>
    </w:p>
    <w:p w14:paraId="54A8E25A">
      <w:pPr>
        <w:pStyle w:val="4"/>
        <w:pageBreakBefore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2.6 B 层：终止活动生命周期与同步暴露必须分开</w:t>
      </w:r>
    </w:p>
    <w:p w14:paraId="42EC2622">
      <w:pPr>
        <w:bidi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terminal 不是简单的全局最大 end_ns。只有同步 completion scope、依赖关系、identity/ownership 和时间容差共同支持唯一完成边界时，才能给出 terminal；并列或证据不足时标记 ambiguous/invalid。关联 launch API 只提供附加 provenance，不决定核心 terminal validity。</w:t>
      </w:r>
    </w:p>
    <w:p w14:paraId="1E23AD32">
      <w:pPr>
        <w:pageBreakBefore w:val="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drawing>
          <wp:inline distT="0" distB="0" distL="114300" distR="114300">
            <wp:extent cx="6126480" cy="2508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51C5">
      <w:pPr>
        <w:pStyle w:val="15"/>
        <w:ind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图 2-1　B 层时间语义：条件性 post-API 启动诊断与核心 terminal–sync 生命周期</w:t>
      </w:r>
    </w:p>
    <w:p w14:paraId="440494B6">
      <w:pPr>
        <w:pStyle w:val="169"/>
        <w:shd w:val="clear" w:fill="F3F5F7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0"/>
        </w:rPr>
        <w:t>terminal(s) = unique completion evidence for W(s) under the frozen synchronization semantics</w:t>
      </w:r>
    </w:p>
    <w:p w14:paraId="3FECFB5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在冻结规则允许时，terminal 可以由 W(s) 中最后满足 completion condition 的活动表示，但必须先证明候选属于语义依赖并且在时间容差内唯一。terminal 的完整执行可在 sync 前部分或全部完成，因此 terminal duration 不等于同步阻塞时间。</w:t>
      </w:r>
    </w:p>
    <w:p w14:paraId="70E71C99">
      <w:pPr>
        <w:pStyle w:val="4"/>
        <w:pageBreakBefore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2.7 推荐的 B 主指标与派生关系</w:t>
      </w:r>
    </w:p>
    <w:tbl>
      <w:tblPr>
        <w:tblStyle w:val="34"/>
        <w:tblW w:w="96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6"/>
        <w:gridCol w:w="3506"/>
        <w:gridCol w:w="2826"/>
      </w:tblGrid>
      <w:tr w14:paraId="47F4D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216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DE01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字段</w:t>
            </w:r>
          </w:p>
        </w:tc>
        <w:tc>
          <w:tcPr>
            <w:tcW w:w="3216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3DDE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公式/定义</w:t>
            </w:r>
          </w:p>
        </w:tc>
        <w:tc>
          <w:tcPr>
            <w:tcW w:w="3216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F6B0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分析作用</w:t>
            </w:r>
          </w:p>
        </w:tc>
      </w:tr>
      <w:tr w14:paraId="3285E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vAlign w:val="center"/>
          </w:tcPr>
          <w:p w14:paraId="1463B2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terminal_launch_api_name</w:t>
            </w:r>
          </w:p>
        </w:tc>
        <w:tc>
          <w:tcPr>
            <w:tcW w:w="3216" w:type="dxa"/>
            <w:vAlign w:val="center"/>
          </w:tcPr>
          <w:p w14:paraId="63B9AB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与 terminal 通过 correlation 关联的 CUDA launch、graph launch 或显式 MemOp API 名称。</w:t>
            </w:r>
          </w:p>
        </w:tc>
        <w:tc>
          <w:tcPr>
            <w:tcW w:w="3216" w:type="dxa"/>
            <w:vAlign w:val="center"/>
          </w:tcPr>
          <w:p w14:paraId="3198CE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用于说明 Host API 关系；不能把 API 名称等同于真实 command enqueue 时刻。</w:t>
            </w:r>
          </w:p>
        </w:tc>
      </w:tr>
      <w:tr w14:paraId="035A5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vAlign w:val="center"/>
          </w:tcPr>
          <w:p w14:paraId="798B9F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terminal_launch_api_end_ns</w:t>
            </w:r>
          </w:p>
        </w:tc>
        <w:tc>
          <w:tcPr>
            <w:tcW w:w="3216" w:type="dxa"/>
            <w:vAlign w:val="center"/>
          </w:tcPr>
          <w:p w14:paraId="5557B2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关联 Host CUDA API 的返回时刻。</w:t>
            </w:r>
          </w:p>
        </w:tc>
        <w:tc>
          <w:tcPr>
            <w:tcW w:w="3216" w:type="dxa"/>
            <w:vAlign w:val="center"/>
          </w:tcPr>
          <w:p w14:paraId="55A445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它不是 GPU command 的真实 queued/submitted completion。</w:t>
            </w:r>
          </w:p>
        </w:tc>
      </w:tr>
      <w:tr w14:paraId="38E8E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vAlign w:val="center"/>
          </w:tcPr>
          <w:p w14:paraId="19E07C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terminal_launch_relation_status</w:t>
            </w:r>
          </w:p>
        </w:tc>
        <w:tc>
          <w:tcPr>
            <w:tcW w:w="3216" w:type="dxa"/>
            <w:vAlign w:val="center"/>
          </w:tcPr>
          <w:p w14:paraId="7E4F09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POST_API_START、STARTED_BEFORE_API_RETURN、MISSING_LAUNCH_MAP 或 UNSUPPORTED_LAUNCH_MAP。</w:t>
            </w:r>
          </w:p>
        </w:tc>
        <w:tc>
          <w:tcPr>
            <w:tcW w:w="3216" w:type="dxa"/>
            <w:vAlign w:val="center"/>
          </w:tcPr>
          <w:p w14:paraId="1EA761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决定三个 post-API 启动字段是否适用；不决定核心 B_valid。</w:t>
            </w:r>
          </w:p>
        </w:tc>
      </w:tr>
      <w:tr w14:paraId="3EB7F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vAlign w:val="center"/>
          </w:tcPr>
          <w:p w14:paraId="42F9B4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terminal_post_api_start_delay_ms</w:t>
            </w:r>
          </w:p>
        </w:tc>
        <w:tc>
          <w:tcPr>
            <w:tcW w:w="3216" w:type="dxa"/>
            <w:vAlign w:val="center"/>
          </w:tcPr>
          <w:p w14:paraId="7D8FA2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terminal.start − terminal_launch_api_end；仅当 status=POST_API_START 时计算，否则为 null。</w:t>
            </w:r>
          </w:p>
        </w:tc>
        <w:tc>
          <w:tcPr>
            <w:tcW w:w="3216" w:type="dxa"/>
            <w:vAlign w:val="center"/>
          </w:tcPr>
          <w:p w14:paraId="69A81D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关联 API 返回后到 terminal 开始之间的可见窗口；不是完整 queue time。</w:t>
            </w:r>
          </w:p>
        </w:tc>
      </w:tr>
      <w:tr w14:paraId="52EDB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vAlign w:val="center"/>
          </w:tcPr>
          <w:p w14:paraId="0F9D59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terminal_post_api_predecessor_ms</w:t>
            </w:r>
          </w:p>
        </w:tc>
        <w:tc>
          <w:tcPr>
            <w:tcW w:w="3216" w:type="dxa"/>
            <w:vAlign w:val="center"/>
          </w:tcPr>
          <w:p w14:paraId="3795BB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在 [terminal_launch_api_end, terminal.start) 内，同 stream 更早 GPU activities 的 interval union；仅适用于 POST_API_START。</w:t>
            </w:r>
          </w:p>
        </w:tc>
        <w:tc>
          <w:tcPr>
            <w:tcW w:w="3216" w:type="dxa"/>
            <w:vAlign w:val="center"/>
          </w:tcPr>
          <w:p w14:paraId="23C8F6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解释 post-API 启动窗口中可由已知前置设备活动覆盖的部分。</w:t>
            </w:r>
          </w:p>
        </w:tc>
      </w:tr>
      <w:tr w14:paraId="72810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vAlign w:val="center"/>
          </w:tcPr>
          <w:p w14:paraId="704D4D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terminal_post_api_uncovered_gap_ms</w:t>
            </w:r>
          </w:p>
        </w:tc>
        <w:tc>
          <w:tcPr>
            <w:tcW w:w="3216" w:type="dxa"/>
            <w:vAlign w:val="center"/>
          </w:tcPr>
          <w:p w14:paraId="00C33D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terminal_post_api_start_delay_ms − terminal_post_api_predecessor_ms；仅适用于 POST_API_START。</w:t>
            </w:r>
          </w:p>
        </w:tc>
        <w:tc>
          <w:tcPr>
            <w:tcW w:w="3216" w:type="dxa"/>
            <w:vAlign w:val="center"/>
          </w:tcPr>
          <w:p w14:paraId="0A19D1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未被已知 predecessor 覆盖的保守 gap；根因未知，不能称为纯 GPU queue、driver delay 或 CPU delay。</w:t>
            </w:r>
          </w:p>
        </w:tc>
      </w:tr>
      <w:tr w14:paraId="3377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vAlign w:val="center"/>
          </w:tcPr>
          <w:p w14:paraId="0BC75B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terminal_exec_total_ms</w:t>
            </w:r>
          </w:p>
        </w:tc>
        <w:tc>
          <w:tcPr>
            <w:tcW w:w="3216" w:type="dxa"/>
            <w:vAlign w:val="center"/>
          </w:tcPr>
          <w:p w14:paraId="0E0F23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terminal.end − terminal.start</w:t>
            </w:r>
          </w:p>
        </w:tc>
        <w:tc>
          <w:tcPr>
            <w:tcW w:w="3216" w:type="dxa"/>
            <w:vAlign w:val="center"/>
          </w:tcPr>
          <w:p w14:paraId="14BFC3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 activity 自身完整执行属性。</w:t>
            </w:r>
          </w:p>
        </w:tc>
      </w:tr>
      <w:tr w14:paraId="1CA7E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vAlign w:val="center"/>
          </w:tcPr>
          <w:p w14:paraId="2AA97F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terminal_exec_pre_sync_ms</w:t>
            </w:r>
          </w:p>
        </w:tc>
        <w:tc>
          <w:tcPr>
            <w:tcW w:w="3216" w:type="dxa"/>
            <w:vAlign w:val="center"/>
          </w:tcPr>
          <w:p w14:paraId="3D7994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 interval ∩ (−∞, sync.start)</w:t>
            </w:r>
          </w:p>
        </w:tc>
        <w:tc>
          <w:tcPr>
            <w:tcW w:w="3216" w:type="dxa"/>
            <w:vAlign w:val="center"/>
          </w:tcPr>
          <w:p w14:paraId="134509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Host 开始等待前已执行的 terminal 进度，属于隐藏部分。</w:t>
            </w:r>
          </w:p>
        </w:tc>
      </w:tr>
      <w:tr w14:paraId="7B93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vAlign w:val="center"/>
          </w:tcPr>
          <w:p w14:paraId="0ECF7F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terminal_exec_overlap_sync_ms</w:t>
            </w:r>
          </w:p>
        </w:tc>
        <w:tc>
          <w:tcPr>
            <w:tcW w:w="3216" w:type="dxa"/>
            <w:vAlign w:val="center"/>
          </w:tcPr>
          <w:p w14:paraId="463A1E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 interval ∩ sync interval</w:t>
            </w:r>
          </w:p>
        </w:tc>
        <w:tc>
          <w:tcPr>
            <w:tcW w:w="3216" w:type="dxa"/>
            <w:vAlign w:val="center"/>
          </w:tcPr>
          <w:p w14:paraId="434197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 对该 sync 的设备执行暴露。</w:t>
            </w:r>
          </w:p>
        </w:tc>
      </w:tr>
      <w:tr w14:paraId="45D50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vAlign w:val="center"/>
          </w:tcPr>
          <w:p w14:paraId="1E18C0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terminal_hidden_fraction</w:t>
            </w:r>
          </w:p>
        </w:tc>
        <w:tc>
          <w:tcPr>
            <w:tcW w:w="3216" w:type="dxa"/>
            <w:vAlign w:val="center"/>
          </w:tcPr>
          <w:p w14:paraId="4455C5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terminal_exec_pre_sync_ms / terminal_exec_total_ms；分母为 0 时为 null。</w:t>
            </w:r>
          </w:p>
        </w:tc>
        <w:tc>
          <w:tcPr>
            <w:tcW w:w="3216" w:type="dxa"/>
            <w:vAlign w:val="center"/>
          </w:tcPr>
          <w:p w14:paraId="33D01D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派生比例，用于跨条件比较隐藏程度。</w:t>
            </w:r>
          </w:p>
        </w:tc>
      </w:tr>
      <w:tr w14:paraId="3FE9C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vAlign w:val="center"/>
          </w:tcPr>
          <w:p w14:paraId="246EA7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sync_return_tail_ms</w:t>
            </w:r>
          </w:p>
        </w:tc>
        <w:tc>
          <w:tcPr>
            <w:tcW w:w="3216" w:type="dxa"/>
            <w:vAlign w:val="center"/>
          </w:tcPr>
          <w:p w14:paraId="3471A9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sync.end − terminal.end；仅对 B_valid=true 的记录计算，若结果为负则标记 ordering_invalid。</w:t>
            </w:r>
          </w:p>
        </w:tc>
        <w:tc>
          <w:tcPr>
            <w:tcW w:w="3216" w:type="dxa"/>
            <w:vAlign w:val="center"/>
          </w:tcPr>
          <w:p w14:paraId="5202E5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唯一 terminal 完成后到 sync 返回的保守尾部；不直接命名为 driver/OS 开销。</w:t>
            </w:r>
          </w:p>
        </w:tc>
      </w:tr>
      <w:tr w14:paraId="0583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vAlign w:val="center"/>
          </w:tcPr>
          <w:p w14:paraId="501421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terminal_exec_post_sync_ms</w:t>
            </w:r>
          </w:p>
        </w:tc>
        <w:tc>
          <w:tcPr>
            <w:tcW w:w="3216" w:type="dxa"/>
            <w:vAlign w:val="center"/>
          </w:tcPr>
          <w:p w14:paraId="6D5D80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terminal interval ∩ (sync.end, ∞)</w:t>
            </w:r>
          </w:p>
        </w:tc>
        <w:tc>
          <w:tcPr>
            <w:tcW w:w="3216" w:type="dxa"/>
            <w:vAlign w:val="center"/>
          </w:tcPr>
          <w:p w14:paraId="2C41B3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仅一致性验证；B_valid=true 时应为 0，非 0 则 ordering_invalid。</w:t>
            </w:r>
          </w:p>
        </w:tc>
      </w:tr>
    </w:tbl>
    <w:p w14:paraId="2BEBD9D6">
      <w:pPr>
        <w:spacing w:after="20"/>
        <w:rPr>
          <w:rFonts w:ascii="Times New Roman" w:hAnsi="Times New Roman" w:eastAsia="宋体"/>
        </w:rPr>
      </w:pPr>
    </w:p>
    <w:p w14:paraId="3AE03510">
      <w:pPr>
        <w:pStyle w:val="4"/>
        <w:pageBreakBefore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2.8 为什么 pre-sync progress 不能并入 post-API predecessor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2348"/>
        <w:gridCol w:w="2171"/>
        <w:gridCol w:w="2032"/>
      </w:tblGrid>
      <w:tr w14:paraId="072CA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2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0B5BC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量</w:t>
            </w:r>
          </w:p>
        </w:tc>
        <w:tc>
          <w:tcPr>
            <w:tcW w:w="2422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CC72C9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发生时序</w:t>
            </w:r>
          </w:p>
        </w:tc>
        <w:tc>
          <w:tcPr>
            <w:tcW w:w="2422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3A6437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对 terminal 的作用</w:t>
            </w:r>
          </w:p>
        </w:tc>
        <w:tc>
          <w:tcPr>
            <w:tcW w:w="2422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D413EE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对 sync 暴露的作用</w:t>
            </w:r>
          </w:p>
        </w:tc>
      </w:tr>
      <w:tr w14:paraId="4CCC8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C896D8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Post-API predecessor（条件性）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65336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status=POST_API_START；API 已返回，terminal 尚未开始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96F84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解释 post-API 启动窗口中的已知同 stream 前置活动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77EBCD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可能延长 post-API start delay；不等于完整 terminal 阻塞</w:t>
            </w:r>
          </w:p>
        </w:tc>
      </w:tr>
      <w:tr w14:paraId="50031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32681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Post-API uncovered gap（条件性）</w:t>
            </w:r>
          </w:p>
        </w:tc>
        <w:tc>
          <w:tcPr>
            <w:tcW w:w="232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80048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status=POST_API_START；API 已返回，terminal 尚未开始</w:t>
            </w:r>
          </w:p>
        </w:tc>
        <w:tc>
          <w:tcPr>
            <w:tcW w:w="28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D128C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post-API 窗口内没有已知 predecessor 覆盖</w:t>
            </w:r>
          </w:p>
        </w:tc>
        <w:tc>
          <w:tcPr>
            <w:tcW w:w="249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A5B578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根因未知；不能命名为纯 GPU queue、driver 或 CPU delay</w:t>
            </w:r>
          </w:p>
        </w:tc>
      </w:tr>
      <w:tr w14:paraId="42FBD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87C517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Terminal pre-sync progress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919398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terminal 已经开始，sync 尚未开始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B90E5A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推进 terminal 自身执行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93EFAC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减少 sync 开始时剩余执行，属于隐藏收益</w:t>
            </w:r>
          </w:p>
        </w:tc>
      </w:tr>
      <w:tr w14:paraId="3977D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29634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Terminal overlap with sync</w:t>
            </w:r>
          </w:p>
        </w:tc>
        <w:tc>
          <w:tcPr>
            <w:tcW w:w="232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234496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terminal 与 sync 同时存在</w:t>
            </w:r>
          </w:p>
        </w:tc>
        <w:tc>
          <w:tcPr>
            <w:tcW w:w="28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DDAFE4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完成 terminal 剩余执行</w:t>
            </w:r>
          </w:p>
        </w:tc>
        <w:tc>
          <w:tcPr>
            <w:tcW w:w="249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93205F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增加 A_device_wait 的暴露部分</w:t>
            </w:r>
          </w:p>
        </w:tc>
      </w:tr>
    </w:tbl>
    <w:p w14:paraId="2F4E1F03">
      <w:pPr>
        <w:spacing w:after="20"/>
        <w:rPr>
          <w:rFonts w:ascii="Times New Roman" w:hAnsi="Times New Roman" w:eastAsia="宋体"/>
        </w:rPr>
      </w:pPr>
    </w:p>
    <w:p w14:paraId="49E28613">
      <w:pPr>
        <w:pStyle w:val="168"/>
        <w:shd w:val="clear" w:fill="FFF3D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000000"/>
        </w:rPr>
        <w:t>把 terminal_post_api_predecessor 与 terminal pre-sync progress 相加，会把“API 返回后延迟 terminal 启动的条件性前置活动”和“terminal 已经提前完成、降低剩余等待的执行进度”混为同一种 blocker，可能得到方向相反的优化判断。</w:t>
      </w:r>
    </w:p>
    <w:p w14:paraId="4F7A58C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紧凑摘要应优先报告所有 B_valid 记录的 `terminal_exec_pre_sync_ms`、`terminal_exec_overlap_sync_ms`、`terminal_hidden_fraction` 与 `sync_return_tail_ms`；三个 `terminal_post_api_*` 指标只在 status=POST_API_START 子集上报告，并必须同时给出该状态覆盖比例。terminal_exec_post_sync_ms 只作一致性检查。</w:t>
      </w:r>
    </w:p>
    <w:p w14:paraId="39550149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2.9 A 与 B 的对应关系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83"/>
        <w:gridCol w:w="1787"/>
        <w:gridCol w:w="1787"/>
      </w:tblGrid>
      <w:tr w14:paraId="63D6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2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4BF9A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层次</w:t>
            </w:r>
          </w:p>
        </w:tc>
        <w:tc>
          <w:tcPr>
            <w:tcW w:w="2422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CA6D01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分析对象</w:t>
            </w:r>
          </w:p>
        </w:tc>
        <w:tc>
          <w:tcPr>
            <w:tcW w:w="2422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A6FAA6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能否跨 sync 求和</w:t>
            </w:r>
          </w:p>
        </w:tc>
        <w:tc>
          <w:tcPr>
            <w:tcW w:w="2422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864181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与 request latency 的关系</w:t>
            </w:r>
          </w:p>
        </w:tc>
      </w:tr>
      <w:tr w14:paraId="5816F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9A3A72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A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866F5B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整个 request/phase 的互斥墙钟区间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0E48B7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可以；五类守恒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A79C79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直接组成 request/phase latency</w:t>
            </w:r>
          </w:p>
        </w:tc>
      </w:tr>
      <w:tr w14:paraId="59A7E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E1403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B</w:t>
            </w:r>
          </w:p>
        </w:tc>
        <w:tc>
          <w:tcPr>
            <w:tcW w:w="39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FE32D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单个 sync 选定 terminal 的生命周期和局部尾部</w:t>
            </w:r>
          </w:p>
        </w:tc>
        <w:tc>
          <w:tcPr>
            <w:tcW w:w="22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9E4D32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不可以</w:t>
            </w:r>
          </w:p>
        </w:tc>
        <w:tc>
          <w:tcPr>
            <w:tcW w:w="238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C6981C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用于解释案例和分布，不是 phase decomposition</w:t>
            </w:r>
          </w:p>
        </w:tc>
      </w:tr>
      <w:tr w14:paraId="6BC35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BAA740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terminal_exec_overlap_sync_ms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09C96E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单个 terminal 在 sync 内的执行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B1BFD4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不跨 sync 加和为 A_device_wait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0B48AE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A_device_wait 使用全部 wait-set activities 的 union，不只 terminal</w:t>
            </w:r>
          </w:p>
        </w:tc>
      </w:tr>
    </w:tbl>
    <w:p w14:paraId="0FFC1AB1">
      <w:pPr>
        <w:spacing w:after="20"/>
        <w:rPr>
          <w:rFonts w:ascii="Times New Roman" w:hAnsi="Times New Roman" w:eastAsia="宋体"/>
        </w:rPr>
      </w:pPr>
    </w:p>
    <w:p w14:paraId="696E9107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2.10 W/M/P/C 的共同与专属指标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3386"/>
        <w:gridCol w:w="3195"/>
      </w:tblGrid>
      <w:tr w14:paraId="0B2FA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E6FB2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类别</w:t>
            </w:r>
          </w:p>
        </w:tc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A1543F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共同主指标</w:t>
            </w:r>
          </w:p>
        </w:tc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5E100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专属补充</w:t>
            </w:r>
          </w:p>
        </w:tc>
      </w:tr>
      <w:tr w14:paraId="54BFC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6366A5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W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48E5B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latency、ratio-of-sums throughput、A 一级及 A_cuda_api/A_device_wait 二级指标、Raw、overlap、phase B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7B7D0F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每 token API/kernel/sync；prompt×batch×output</w:t>
            </w:r>
          </w:p>
        </w:tc>
      </w:tr>
      <w:tr w14:paraId="105E6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4DF4B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460CA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同上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670A5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参数、层、显存、operator/kernel mix</w:t>
            </w:r>
          </w:p>
        </w:tc>
      </w:tr>
      <w:tr w14:paraId="372E2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9ADCDE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P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E6AE17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同上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E5C4EC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CPU 单线程/频率、PCIe/NUMA、GPU clock/power/temp</w:t>
            </w:r>
          </w:p>
        </w:tc>
      </w:tr>
      <w:tr w14:paraId="324B0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3BB21C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C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7A745C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同上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A8EF85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backend、graph/compile、精度、graph breaks、输出质量</w:t>
            </w:r>
          </w:p>
        </w:tc>
      </w:tr>
    </w:tbl>
    <w:p w14:paraId="5F013115">
      <w:pPr>
        <w:spacing w:after="20"/>
        <w:rPr>
          <w:rFonts w:ascii="Times New Roman" w:hAnsi="Times New Roman" w:eastAsia="宋体"/>
        </w:rPr>
      </w:pPr>
    </w:p>
    <w:p w14:paraId="2D48858F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2.11 统计与质量</w:t>
      </w:r>
    </w:p>
    <w:p w14:paraId="3D99CCB3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Latency、A 与 D 的推断单位是 repeat/phase。B 保留两种互补统计：所有 B_valid physical sync 的 sync-weighted 分布用于描述“随机一个 sync”的结构；每个 repeat/phase 先聚合后再跨 repeat 汇总，用于描述“典型一次 inference”并计算置信区间。</w:t>
      </w:r>
    </w:p>
    <w:p w14:paraId="4B4635D6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B 的 CI 和跨 WMPC 比较采用 repeat-cluster bootstrap：每次重采样整组 repeat，并保留该 repeat 内全部 sync；不得把同一 invocation 内的 sync 当作相互独立的实验样本。</w:t>
      </w:r>
    </w:p>
    <w:tbl>
      <w:tblPr>
        <w:tblStyle w:val="34"/>
        <w:tblW w:w="84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178"/>
        <w:gridCol w:w="3733"/>
      </w:tblGrid>
      <w:tr w14:paraId="48023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B7B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项目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0E5B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程序验证阶段</w:t>
            </w:r>
          </w:p>
        </w:tc>
        <w:tc>
          <w:tcPr>
            <w:tcW w:w="3733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5ABA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正式数据阶段</w:t>
            </w:r>
          </w:p>
        </w:tc>
      </w:tr>
      <w:tr w14:paraId="62536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7E03A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Repeats/CV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A9B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冻结前 preflight 使用少量 attempts 检查采集链；Pilot 估计方差、异常率与 profiler overhead。</w:t>
            </w:r>
          </w:p>
        </w:tc>
        <w:tc>
          <w:tcPr>
            <w:tcW w:w="37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8C118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Protocol Freeze 统一固定 repeat_count 或预定义分块次数；不得因单组 CI 跨 0 或结果不显著而选择性补采。</w:t>
            </w:r>
          </w:p>
        </w:tc>
      </w:tr>
      <w:tr w14:paraId="586A9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16C06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吞吐与 CI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84A7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使用与 phase 一致的 token 分母和 Σtokens/Σtime。</w:t>
            </w:r>
          </w:p>
        </w:tc>
        <w:tc>
          <w:tcPr>
            <w:tcW w:w="3733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089A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以 repeat 为重采样单位报告 95% percentile bootstrap CI；CI 宽度用于表达精度，不自动触发逐组加样。</w:t>
            </w:r>
          </w:p>
        </w:tc>
      </w:tr>
      <w:tr w14:paraId="2F995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8BD79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 share 与 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4C655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检查分母、null 与质量门。</w:t>
            </w:r>
          </w:p>
        </w:tc>
        <w:tc>
          <w:tcPr>
            <w:tcW w:w="37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3663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绝对 ms 为主，share/D 只用于组成迁移；不得将 A_host_path 或 D 直接解释为 CPU busy 或 CPU/GPU 瓶颈。</w:t>
            </w:r>
          </w:p>
        </w:tc>
      </w:tr>
      <w:tr w14:paraId="6902C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B69F0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</w:t>
            </w:r>
          </w:p>
        </w:tc>
        <w:tc>
          <w:tcPr>
            <w:tcW w:w="0" w:type="auto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CC076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检查 coverage、公式、invalid 与两种聚合口径。</w:t>
            </w:r>
          </w:p>
        </w:tc>
        <w:tc>
          <w:tcPr>
            <w:tcW w:w="3733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0098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同时报告 sync-weighted 分布和 repeat/phase 聚合；CI 使用 repeat-cluster bootstrap。</w:t>
            </w:r>
          </w:p>
        </w:tc>
      </w:tr>
      <w:tr w14:paraId="5E30B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F3A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代码与 schema 冻结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1163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preflight 可允许 dirty，但必须留日志。</w:t>
            </w:r>
          </w:p>
        </w:tc>
        <w:tc>
          <w:tcPr>
            <w:tcW w:w="37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2E4E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manifest 记录 runner/analyzer commit，正式数据 dirty=false；registry、API 分类表和 oracle 版本随 tag 冻结。</w:t>
            </w:r>
          </w:p>
        </w:tc>
      </w:tr>
      <w:tr w14:paraId="7D464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61B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Profiler overhead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973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相同 WMPC 的独立 Pass 0/Pass 1 集合比较。</w:t>
            </w:r>
          </w:p>
        </w:tc>
        <w:tc>
          <w:tcPr>
            <w:tcW w:w="3733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95D81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目标≤5%、硬门槛≤10%；Pass 1 latency 不替代 Pass 0 主性能。</w:t>
            </w:r>
          </w:p>
        </w:tc>
      </w:tr>
      <w:tr w14:paraId="12E5C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6B966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顶层 A 分区不变量</w:t>
            </w:r>
          </w:p>
        </w:tc>
        <w:tc>
          <w:tcPr>
            <w:tcW w:w="0" w:type="auto"/>
            <w:vAlign w:val="center"/>
          </w:tcPr>
          <w:p w14:paraId="585079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检查原子区间切分、优先级、窗口裁剪与整数时间戳。</w:t>
            </w:r>
          </w:p>
        </w:tc>
        <w:tc>
          <w:tcPr>
            <w:tcW w:w="3733" w:type="dxa"/>
            <w:vAlign w:val="center"/>
          </w:tcPr>
          <w:p w14:paraId="3CDA00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跨 A 重复归属=0 ns；加入 A_unattributed 后最终未覆盖=0 ns；越界=0 ns；负时长/逆序有效记录=0。浮点导出差异≤0.1%仅作序列化 QA，不是语义正确性证据。</w:t>
            </w:r>
          </w:p>
        </w:tc>
      </w:tr>
      <w:tr w14:paraId="2F78D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39F97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A_cuda_api 二级分区</w:t>
            </w:r>
          </w:p>
        </w:tc>
        <w:tc>
          <w:tcPr>
            <w:tcW w:w="0" w:type="auto"/>
            <w:vAlign w:val="center"/>
          </w:tcPr>
          <w:p w14:paraId="1AA945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submit/non-submit 原子片段互斥并闭合到父类。</w:t>
            </w:r>
          </w:p>
        </w:tc>
        <w:tc>
          <w:tcPr>
            <w:tcW w:w="3733" w:type="dxa"/>
            <w:vAlign w:val="center"/>
          </w:tcPr>
          <w:p w14:paraId="253F6B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整数时间戳域要求精确闭合；classification coverage 目标≥99%。导出毫秒的≤0.1%仅作显示容差。</w:t>
            </w:r>
          </w:p>
        </w:tc>
      </w:tr>
      <w:tr w14:paraId="7DBE8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2CC"/>
            <w:vAlign w:val="center"/>
          </w:tcPr>
          <w:p w14:paraId="731838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A_device_wait 二级分区</w:t>
            </w:r>
          </w:p>
        </w:tc>
        <w:tc>
          <w:tcPr>
            <w:tcW w:w="0" w:type="auto"/>
            <w:shd w:val="clear" w:color="auto" w:fill="FFF2CC"/>
            <w:vAlign w:val="center"/>
          </w:tcPr>
          <w:p w14:paraId="100665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kernel-only、memop-only、mixed 原子片段互斥并闭合到父类。</w:t>
            </w:r>
          </w:p>
        </w:tc>
        <w:tc>
          <w:tcPr>
            <w:tcW w:w="3733" w:type="dxa"/>
            <w:shd w:val="clear" w:color="auto" w:fill="FFF2CC"/>
            <w:vAlign w:val="center"/>
          </w:tcPr>
          <w:p w14:paraId="4517B5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整数时间戳域要求精确闭合；activity classification coverage 目标≥99%。</w:t>
            </w:r>
          </w:p>
        </w:tc>
      </w:tr>
      <w:tr w14:paraId="6B4D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90308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S/B 语义与真实覆盖</w:t>
            </w:r>
          </w:p>
        </w:tc>
        <w:tc>
          <w:tcPr>
            <w:tcW w:w="0" w:type="auto"/>
            <w:vAlign w:val="center"/>
          </w:tcPr>
          <w:p w14:paraId="750B1A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微基准检查 wait-set、terminal、B 生命周期和 invalid reason；真实 trace 检查 dropped/NVTX/bleed。</w:t>
            </w:r>
          </w:p>
        </w:tc>
        <w:tc>
          <w:tcPr>
            <w:tcW w:w="3733" w:type="dxa"/>
            <w:vAlign w:val="center"/>
          </w:tcPr>
          <w:p w14:paraId="3578DE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支持微基准 activity ID/terminal exact match；真实 LLM 报告 supported count/duration coverage、B_valid、invalid reason 与 A_unattributed，门槛由 Pilot 冻结。</w:t>
            </w:r>
          </w:p>
        </w:tc>
      </w:tr>
      <w:tr w14:paraId="05B4A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5" w:type="dxa"/>
            <w:shd w:val="clear" w:color="auto" w:fill="FFF2CC"/>
            <w:vAlign w:val="center"/>
          </w:tcPr>
          <w:p w14:paraId="622639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Launch relation</w:t>
            </w:r>
          </w:p>
        </w:tc>
        <w:tc>
          <w:tcPr>
            <w:tcW w:w="3178" w:type="dxa"/>
            <w:shd w:val="clear" w:color="auto" w:fill="FFF2CC"/>
            <w:vAlign w:val="center"/>
          </w:tcPr>
          <w:p w14:paraId="0751BB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检查 correlation 唯一性、状态分类与 null 规则。</w:t>
            </w:r>
          </w:p>
        </w:tc>
        <w:tc>
          <w:tcPr>
            <w:tcW w:w="3733" w:type="dxa"/>
            <w:shd w:val="clear" w:color="auto" w:fill="FFF2CC"/>
            <w:vAlign w:val="center"/>
          </w:tcPr>
          <w:p w14:paraId="0B2F0E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报告状态数量/比例；post-API 指标只在 POST_API_START 子集汇总。</w:t>
            </w:r>
          </w:p>
        </w:tc>
      </w:tr>
    </w:tbl>
    <w:p w14:paraId="43CF3BA7">
      <w:pPr>
        <w:pStyle w:val="168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A 的互斥闭合只是 partition implementation invariant。Q0 的核心正确性证据必须来自受控 CUDA 用例中的 W(s)/terminal 对独立 oracle 精确匹配、completed-before-sync 与无关重叠负例、validity/fail-closed 和真实 observation coverage。</w:t>
      </w:r>
    </w:p>
    <w:p w14:paraId="5F420B57">
      <w:pPr>
        <w:spacing w:after="20"/>
        <w:rPr>
          <w:rFonts w:ascii="Times New Roman" w:hAnsi="Times New Roman" w:eastAsia="宋体"/>
        </w:rPr>
      </w:pPr>
    </w:p>
    <w:p w14:paraId="51E0FB7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br w:type="page"/>
      </w:r>
    </w:p>
    <w:p w14:paraId="6A7D0B38">
      <w:pPr>
        <w:pStyle w:val="3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第三章　研究路线、论文证据链与 Artifact</w:t>
      </w:r>
    </w:p>
    <w:p w14:paraId="71A27CFC">
      <w:pPr>
        <w:pStyle w:val="166"/>
        <w:shd w:val="clear" w:fill="EAF1F8"/>
        <w:rPr>
          <w:rFonts w:hint="eastAsia" w:ascii="Times New Roman" w:hAnsi="Times New Roman" w:eastAsia="宋体"/>
          <w:b w:val="0"/>
          <w:bCs w:val="0"/>
          <w:highlight w:val="none"/>
          <w:lang w:eastAsia="zh-CN"/>
        </w:rPr>
      </w:pPr>
      <w:r>
        <w:rPr>
          <w:rFonts w:ascii="Times New Roman" w:hAnsi="Times New Roman" w:eastAsia="宋体"/>
          <w:b w:val="0"/>
          <w:color w:val="000000"/>
        </w:rPr>
        <w:t>四个阶段是研究逻辑，而不是八个相互独立的项目。周期为单人、已有代码和设备条件下的估计，可并行推进，不是硬性工期承诺。</w:t>
      </w:r>
      <w:r>
        <w:rPr>
          <w:rFonts w:hint="eastAsia" w:ascii="Times New Roman" w:hAnsi="Times New Roman" w:eastAsia="宋体"/>
          <w:b w:val="0"/>
          <w:bCs w:val="0"/>
          <w:color w:val="000000"/>
          <w:lang w:eastAsia="zh-CN"/>
        </w:rPr>
        <w:drawing>
          <wp:inline distT="0" distB="0" distL="114300" distR="114300">
            <wp:extent cx="5266690" cy="1697990"/>
            <wp:effectExtent l="0" t="0" r="6350" b="8890"/>
            <wp:docPr id="6" name="图片 6" descr="12M0KK`[DS(8JJL$R5Y3R3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2M0KK`[DS(8JJL$R5Y3R3H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280D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3.1 当前阶段：Engineering 与 Measurement Contract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2376"/>
        <w:gridCol w:w="1856"/>
        <w:gridCol w:w="1366"/>
        <w:gridCol w:w="1533"/>
      </w:tblGrid>
      <w:tr w14:paraId="6A96F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938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内容</w:t>
            </w:r>
          </w:p>
        </w:tc>
        <w:tc>
          <w:tcPr>
            <w:tcW w:w="1938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当前任务</w:t>
            </w:r>
          </w:p>
        </w:tc>
        <w:tc>
          <w:tcPr>
            <w:tcW w:w="1938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完成标准</w:t>
            </w:r>
          </w:p>
        </w:tc>
        <w:tc>
          <w:tcPr>
            <w:tcW w:w="1938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状态</w:t>
            </w:r>
          </w:p>
        </w:tc>
        <w:tc>
          <w:tcPr>
            <w:tcW w:w="1938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产物</w:t>
            </w:r>
          </w:p>
        </w:tc>
      </w:tr>
      <w:tr w14:paraId="1687A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Measurement Contract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冻结 Token/phase、sync scope、W(s)、terminal、validity、A/B/D/Signature</w:t>
            </w:r>
          </w:p>
        </w:tc>
        <w:tc>
          <w:tcPr>
            <w:tcW w:w="26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规则可测试、无未决语义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进行中；Gate 1=FAIL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Measurement Contract v0.2</w:t>
            </w:r>
          </w:p>
        </w:tc>
      </w:tr>
      <w:tr w14:paraId="42437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Q0 oracle</w:t>
            </w:r>
          </w:p>
        </w:tc>
        <w:tc>
          <w:tcPr>
            <w:tcW w:w="289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为正例、负例、含糊例预写独立标准答案</w:t>
            </w:r>
          </w:p>
        </w:tc>
        <w:tc>
          <w:tcPr>
            <w:tcW w:w="260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不调用或复制 analyzer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未开始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Q0 case registry + expected</w:t>
            </w:r>
          </w:p>
        </w:tc>
      </w:tr>
      <w:tr w14:paraId="3D944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离线实现链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Canonical Raw→S→A/B→D/Signature</w:t>
            </w:r>
          </w:p>
        </w:tc>
        <w:tc>
          <w:tcPr>
            <w:tcW w:w="26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合成 fixture 与不变量测试通过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未完成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版本化 schema、代码与测试</w:t>
            </w:r>
          </w:p>
        </w:tc>
      </w:tr>
    </w:tbl>
    <w:p w14:paraId="27B0D4CB">
      <w:pPr>
        <w:spacing w:after="20"/>
        <w:rPr>
          <w:rFonts w:ascii="Times New Roman" w:hAnsi="Times New Roman" w:eastAsia="宋体"/>
        </w:rPr>
      </w:pPr>
    </w:p>
    <w:p w14:paraId="7926C97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当前阶段结束时应能回答：每个 Token/phase 的可观察完成边界是什么；各 sync completion scope 如何定义；W(s)、terminal 和 validity 如何恢复；A/B 哪些量可加；缺证据时怎样拒绝回答。目前这些内容尚未全部冻结。</w:t>
      </w:r>
    </w:p>
    <w:p w14:paraId="42394864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3.2 从离线语义设计到 Pilot 与 Protocol Freeze</w:t>
      </w:r>
    </w:p>
    <w:p w14:paraId="17CC2E40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正式目录采用实验根目录 + WMPC 子目录：execution_order.csv 和 platform snapshots 位于根目录；每个 WMPC 分为 pass0/ 与 pass1/。阶段二依次完成三件事：先冻结方法语义、schema 和质量门槛；随后执行小规模 pilot；最后依据 pilot 冻结精确 WMPC、正式 repeat_count、sync_semantics_registry v1.0、C1 实现和图表/假设映射。Pilot 属于阶段二，不属于阶段一的微基准正确性测试，也不属于阶段三的正式论文数据。</w:t>
      </w:r>
    </w:p>
    <w:tbl>
      <w:tblPr>
        <w:tblStyle w:val="3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3155"/>
        <w:gridCol w:w="2515"/>
        <w:gridCol w:w="1616"/>
      </w:tblGrid>
      <w:tr w14:paraId="7D40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>
            <w:r>
              <w:rPr/>
              <w:t>任务</w:t>
            </w:r>
          </w:p>
        </w:tc>
        <w:tc>
          <w:tcPr>
            <w:tcW w:w="3155" w:type="dxa"/>
            <w:shd w:val="clear" w:color="auto" w:fill="D9EAF7"/>
            <w:vAlign w:val="center"/>
          </w:tcPr>
          <w:p>
            <w:r>
              <w:rPr/>
              <w:t>研究设计层要求</w:t>
            </w:r>
          </w:p>
        </w:tc>
        <w:tc>
          <w:tcPr>
            <w:tcW w:w="2515" w:type="dxa"/>
            <w:shd w:val="clear" w:color="auto" w:fill="D9EAF7"/>
            <w:vAlign w:val="center"/>
          </w:tcPr>
          <w:p>
            <w:r>
              <w:rPr/>
              <w:t>冻结产物</w:t>
            </w:r>
          </w:p>
        </w:tc>
        <w:tc>
          <w:tcPr>
            <w:tcW w:w="1616" w:type="dxa"/>
            <w:shd w:val="clear" w:color="auto" w:fill="D9EAF7"/>
            <w:vAlign w:val="center"/>
          </w:tcPr>
          <w:p>
            <w:r>
              <w:rPr/>
              <w:t>执行细节来源</w:t>
            </w:r>
          </w:p>
        </w:tc>
      </w:tr>
      <w:tr w14:paraId="08339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收敛 RQ 与 claims</w:t>
            </w:r>
          </w:p>
        </w:tc>
        <w:tc>
          <w:tcPr>
            <w:tcW w:w="3155" w:type="dxa"/>
            <w:vAlign w:val="center"/>
          </w:tcPr>
          <w:p>
            <w:r>
              <w:rPr/>
              <w:t>区分核心、增强与降级 claim，预先定义不可声称内容。</w:t>
            </w:r>
          </w:p>
        </w:tc>
        <w:tc>
          <w:tcPr>
            <w:tcW w:w="2515" w:type="dxa"/>
            <w:vAlign w:val="center"/>
          </w:tcPr>
          <w:p>
            <w:r>
              <w:rPr/>
              <w:t>Claim—evidence map</w:t>
            </w:r>
          </w:p>
        </w:tc>
        <w:tc>
          <w:tcPr>
            <w:tcW w:w="1616" w:type="dxa"/>
            <w:vAlign w:val="center"/>
          </w:tcPr>
          <w:p>
            <w:r>
              <w:rPr/>
              <w:t>实验协议 v2.1</w:t>
            </w:r>
          </w:p>
        </w:tc>
      </w:tr>
      <w:tr w14:paraId="24588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完成 Pilot</w:t>
            </w:r>
          </w:p>
        </w:tc>
        <w:tc>
          <w:tcPr>
            <w:tcW w:w="3155" w:type="dxa"/>
            <w:vAlign w:val="center"/>
          </w:tcPr>
          <w:p>
            <w:r>
              <w:rPr/>
              <w:t>验证共同可行域、采集稳定性、Q0 oracle、N1 可插入性、C1 可行性与外部平台运行。</w:t>
            </w:r>
          </w:p>
        </w:tc>
        <w:tc>
          <w:tcPr>
            <w:tcW w:w="2515" w:type="dxa"/>
            <w:vAlign w:val="center"/>
          </w:tcPr>
          <w:p>
            <w:r>
              <w:rPr/>
              <w:t>pilot_report、异常与可行域清单</w:t>
            </w:r>
          </w:p>
        </w:tc>
        <w:tc>
          <w:tcPr>
            <w:tcW w:w="1616" w:type="dxa"/>
            <w:vAlign w:val="center"/>
          </w:tcPr>
          <w:p>
            <w:r>
              <w:rPr/>
              <w:t>实验协议 v2.1</w:t>
            </w:r>
          </w:p>
        </w:tc>
      </w:tr>
      <w:tr w14:paraId="2F174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Protocol Freeze</w:t>
            </w:r>
          </w:p>
        </w:tc>
        <w:tc>
          <w:tcPr>
            <w:tcW w:w="3155" w:type="dxa"/>
            <w:vAlign w:val="center"/>
          </w:tcPr>
          <w:p>
            <w:r>
              <w:rPr/>
              <w:t>冻结 WMPC、sentinel、Pass、repeat、coverage、baseline、留出规则和停止条件。</w:t>
            </w:r>
          </w:p>
        </w:tc>
        <w:tc>
          <w:tcPr>
            <w:tcW w:w="2515" w:type="dxa"/>
            <w:vAlign w:val="center"/>
          </w:tcPr>
          <w:p>
            <w:r>
              <w:rPr/>
              <w:t>协议 tag、manifest schema、registry/oracle 版本</w:t>
            </w:r>
          </w:p>
        </w:tc>
        <w:tc>
          <w:tcPr>
            <w:tcW w:w="1616" w:type="dxa"/>
            <w:vAlign w:val="center"/>
          </w:tcPr>
          <w:p>
            <w:r>
              <w:rPr/>
              <w:t>实验协议 v2.1</w:t>
            </w:r>
          </w:p>
        </w:tc>
      </w:tr>
      <w:tr w14:paraId="4147C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6" w:type="dxa"/>
            <w:vAlign w:val="center"/>
          </w:tcPr>
          <w:p>
            <w:r>
              <w:rPr/>
              <w:t>预注册分析</w:t>
            </w:r>
          </w:p>
        </w:tc>
        <w:tc>
          <w:tcPr>
            <w:tcW w:w="3155" w:type="dxa"/>
            <w:vAlign w:val="center"/>
          </w:tcPr>
          <w:p>
            <w:r>
              <w:rPr/>
              <w:t>冻结 D/CI、ΔA、图表映射和负结果处理。</w:t>
            </w:r>
          </w:p>
        </w:tc>
        <w:tc>
          <w:tcPr>
            <w:tcW w:w="2515" w:type="dxa"/>
            <w:vAlign w:val="center"/>
          </w:tcPr>
          <w:p>
            <w:r>
              <w:rPr/>
              <w:t>analysis plan</w:t>
            </w:r>
          </w:p>
        </w:tc>
        <w:tc>
          <w:tcPr>
            <w:tcW w:w="1616" w:type="dxa"/>
            <w:vAlign w:val="center"/>
          </w:tcPr>
          <w:p>
            <w:r>
              <w:rPr/>
              <w:t>实验协议 v2.1</w:t>
            </w:r>
          </w:p>
        </w:tc>
      </w:tr>
    </w:tbl>
    <w:p w14:paraId="474112C7">
      <w:pPr>
        <w:pStyle w:val="5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3.2.1 Pilot 在四阶段路线中的位置</w:t>
      </w:r>
    </w:p>
    <w:p w14:paraId="10E0788E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执行顺序为：封存 Prototype→Measurement Contract→Q0 oracle→Canonical Raw→S→A/B→D/Signature→Q0→runner 对齐→Engineering Pilot→平台资格→OOM/可行域→Pilot→Protocol Freeze→N1/G1→G2。Pilot 只用于确定运行政策，Formal 数据必须在 Freeze 后重新采集。</w:t>
      </w:r>
    </w:p>
    <w:p w14:paraId="5D35C651">
      <w:pPr>
        <w:pStyle w:val="5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3.2.2 与实验协议 v2.1 的职责接口</w:t>
      </w:r>
    </w:p>
    <w:p w14:paraId="26DEA32A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本文件只规定 Pilot 必须回答哪些研究风险：共同可行域是否成立、Q0 是否达到资格、N1 是否能够制造可解释的等待迁移、C1 是否稳定、Pass 1 是否在开销门槛内，以及正式统计规则能否预先冻结。</w:t>
      </w:r>
    </w:p>
    <w:p w14:paraId="361DBDBE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候选 sentinel、warmup/repeat、运行顺序、失败重跑、coverage 门槛、G2 候选和停止规则由实验协议 v2.1 维护，并由平台资格、OOM 探测与 Pilot 提供依据；研究设计只维护研究问题、方法语义和证据—主张边界。</w:t>
      </w:r>
    </w:p>
    <w:p w14:paraId="352C8FB4">
      <w:pPr>
        <w:pStyle w:val="5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3.2.3 Measurement Contract 与阶段 Gate</w:t>
      </w:r>
    </w:p>
    <w:p w14:paraId="2BCBA06B">
      <w:pPr>
        <w:pStyle w:val="167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进入真实 LLM sentinel Pilot 前，必须完成 registry v0.x、三态 wait set、ownership、invalid taxonomy 与核心 Q0 程序；进入正式主矩阵前，必须由 Pilot 发布 registry v1.0、冻结数值 quality gates，并使扩展 Q0 全部通过。Q0 失败仅允许修 analyzer/registry 后全量重跑 qualification，不允许用 G1–G4 结果反向为语义规则辩护。</w:t>
      </w:r>
    </w:p>
    <w:p w14:paraId="1E3B5DB1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3.3 正式证据主线：Q0→N1/G1→G2</w:t>
      </w:r>
    </w:p>
    <w:p>
      <w:pPr>
        <w:pStyle w:val="167"/>
      </w:pPr>
      <w:r>
        <w:rPr>
          <w:color w:val="000000"/>
        </w:rPr>
        <w:t>证据链必须按 Correctness→Information Gain→Decision Gain 递进。Q0 不通过时不得解释 N1/G1/G2；N1/G1 没有显示非冗余信息时，G2 不得声称来自 ExposedPath 的决策优势。</w:t>
      </w:r>
    </w:p>
    <w:tbl>
      <w:tblPr>
        <w:tblStyle w:val="3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2933"/>
        <w:gridCol w:w="3086"/>
        <w:gridCol w:w="1057"/>
      </w:tblGrid>
      <w:tr w14:paraId="15759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46" w:type="dxa"/>
            <w:shd w:val="clear" w:color="auto" w:fill="D9EAF7"/>
            <w:vAlign w:val="center"/>
          </w:tcPr>
          <w:p>
            <w:r>
              <w:rPr/>
              <w:t>证据块</w:t>
            </w:r>
          </w:p>
        </w:tc>
        <w:tc>
          <w:tcPr>
            <w:tcW w:w="0" w:type="auto"/>
            <w:shd w:val="clear" w:color="auto" w:fill="D9EAF7"/>
            <w:vAlign w:val="center"/>
          </w:tcPr>
          <w:p>
            <w:r>
              <w:rPr/>
              <w:t>核心研究作用</w:t>
            </w:r>
          </w:p>
        </w:tc>
        <w:tc>
          <w:tcPr>
            <w:tcW w:w="3086" w:type="dxa"/>
            <w:shd w:val="clear" w:color="auto" w:fill="D9EAF7"/>
            <w:vAlign w:val="center"/>
          </w:tcPr>
          <w:p>
            <w:r>
              <w:rPr/>
              <w:t>进入正文的最低条件</w:t>
            </w:r>
          </w:p>
        </w:tc>
        <w:tc>
          <w:tcPr>
            <w:tcW w:w="1057" w:type="dxa"/>
            <w:shd w:val="clear" w:color="auto" w:fill="D9EAF7"/>
            <w:vAlign w:val="center"/>
          </w:tcPr>
          <w:p>
            <w:r>
              <w:rPr/>
              <w:t>精确矩阵</w:t>
            </w:r>
          </w:p>
        </w:tc>
      </w:tr>
      <w:tr w14:paraId="796AE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6" w:type="dxa"/>
            <w:vAlign w:val="center"/>
          </w:tcPr>
          <w:p>
            <w:r>
              <w:rPr/>
              <w:t>Q0 方法资格</w:t>
            </w:r>
          </w:p>
        </w:tc>
        <w:tc>
          <w:tcPr>
            <w:tcW w:w="0" w:type="auto"/>
            <w:vAlign w:val="center"/>
          </w:tcPr>
          <w:p>
            <w:r>
              <w:rPr/>
              <w:t>证明分区实现、同步语义 oracle 与 fail-closed</w:t>
            </w:r>
          </w:p>
        </w:tc>
        <w:tc>
          <w:tcPr>
            <w:tcW w:w="3086" w:type="dxa"/>
            <w:vAlign w:val="center"/>
          </w:tcPr>
          <w:p>
            <w:r>
              <w:rPr/>
              <w:t>支持微基准 exact match；真实 trace coverage 透明</w:t>
            </w:r>
          </w:p>
        </w:tc>
        <w:tc>
          <w:tcPr>
            <w:tcW w:w="1057" w:type="dxa"/>
            <w:vAlign w:val="center"/>
          </w:tcPr>
          <w:p>
            <w:r>
              <w:rPr/>
              <w:t>实验协议 v2.1</w:t>
            </w:r>
          </w:p>
        </w:tc>
      </w:tr>
      <w:tr w14:paraId="6BD66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6" w:type="dxa"/>
            <w:vAlign w:val="center"/>
          </w:tcPr>
          <w:p>
            <w:r>
              <w:rPr/>
              <w:t>N1 比较必要性</w:t>
            </w:r>
          </w:p>
        </w:tc>
        <w:tc>
          <w:tcPr>
            <w:tcW w:w="0" w:type="auto"/>
            <w:vAlign w:val="center"/>
          </w:tcPr>
          <w:p>
            <w:r>
              <w:rPr/>
              <w:t>证明传统局部指标不能替代 A/B/E2E</w:t>
            </w:r>
          </w:p>
        </w:tc>
        <w:tc>
          <w:tcPr>
            <w:tcW w:w="3086" w:type="dxa"/>
            <w:vAlign w:val="center"/>
          </w:tcPr>
          <w:p>
            <w:r>
              <w:rPr/>
              <w:t>若出现稳定 waiting migration、非冗余解释或明确等价边界则进入正文；不要求预设非平凡正结果</w:t>
            </w:r>
          </w:p>
        </w:tc>
        <w:tc>
          <w:tcPr>
            <w:tcW w:w="1057" w:type="dxa"/>
            <w:vAlign w:val="center"/>
          </w:tcPr>
          <w:p>
            <w:r>
              <w:rPr/>
              <w:t>实验协议 v2.1</w:t>
            </w:r>
          </w:p>
        </w:tc>
      </w:tr>
      <w:tr w14:paraId="2242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6" w:type="dxa"/>
            <w:vAlign w:val="center"/>
          </w:tcPr>
          <w:p>
            <w:r>
              <w:rPr/>
              <w:t>G1 工作负载主矩阵</w:t>
            </w:r>
          </w:p>
        </w:tc>
        <w:tc>
          <w:tcPr>
            <w:tcW w:w="0" w:type="auto"/>
            <w:vAlign w:val="center"/>
          </w:tcPr>
          <w:p>
            <w:r>
              <w:rPr/>
              <w:t>检验自然 workload 中 activity→exposure 的同比、非同比、区间依赖或 null</w:t>
            </w:r>
          </w:p>
        </w:tc>
        <w:tc>
          <w:tcPr>
            <w:tcW w:w="3086" w:type="dxa"/>
            <w:vAlign w:val="center"/>
          </w:tcPr>
          <w:p>
            <w:r>
              <w:rPr/>
              <w:t>结果稳定、CI/coverage 可解释并符合冻结分析；不以‘必须非显然’作为数据质量门</w:t>
            </w:r>
          </w:p>
        </w:tc>
        <w:tc>
          <w:tcPr>
            <w:tcW w:w="1057" w:type="dxa"/>
            <w:vAlign w:val="center"/>
          </w:tcPr>
          <w:p>
            <w:r>
              <w:rPr/>
              <w:t>实验协议 v2.1</w:t>
            </w:r>
          </w:p>
        </w:tc>
      </w:tr>
      <w:tr w14:paraId="6A5F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6" w:type="dxa"/>
            <w:vAlign w:val="center"/>
          </w:tcPr>
          <w:p>
            <w:r>
              <w:rPr/>
              <w:t>G2 优化行动性</w:t>
            </w:r>
          </w:p>
        </w:tc>
        <w:tc>
          <w:tcPr>
            <w:tcW w:w="0" w:type="auto"/>
            <w:vAlign w:val="center"/>
          </w:tcPr>
          <w:p>
            <w:r>
              <w:rPr/>
              <w:t>留出条件下判断收益，并用 ΔA 闭环解释</w:t>
            </w:r>
          </w:p>
        </w:tc>
        <w:tc>
          <w:tcPr>
            <w:tcW w:w="3086" w:type="dxa"/>
            <w:vAlign w:val="center"/>
          </w:tcPr>
          <w:p>
            <w:r>
              <w:rPr/>
              <w:t>相对简单 baseline 有增量，或形成清晰失败边界</w:t>
            </w:r>
          </w:p>
        </w:tc>
        <w:tc>
          <w:tcPr>
            <w:tcW w:w="1057" w:type="dxa"/>
            <w:vAlign w:val="center"/>
          </w:tcPr>
          <w:p>
            <w:r>
              <w:rPr/>
              <w:t>实验协议 v2.1</w:t>
            </w:r>
          </w:p>
        </w:tc>
      </w:tr>
      <w:tr w14:paraId="4B610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6" w:type="dxa"/>
            <w:vAlign w:val="center"/>
          </w:tcPr>
          <w:p>
            <w:r>
              <w:rPr/>
              <w:t>G3/G4 泛化</w:t>
            </w:r>
          </w:p>
        </w:tc>
        <w:tc>
          <w:tcPr>
            <w:tcW w:w="0" w:type="auto"/>
            <w:vAlign w:val="center"/>
          </w:tcPr>
          <w:p>
            <w:r>
              <w:rPr/>
              <w:t>验证模型规模与完整平台边界</w:t>
            </w:r>
          </w:p>
        </w:tc>
        <w:tc>
          <w:tcPr>
            <w:tcW w:w="3086" w:type="dxa"/>
            <w:vAlign w:val="center"/>
          </w:tcPr>
          <w:p>
            <w:r>
              <w:rPr/>
              <w:t>至少形成稳定部分、可解释迁移或明确适用边界</w:t>
            </w:r>
          </w:p>
        </w:tc>
        <w:tc>
          <w:tcPr>
            <w:tcW w:w="1057" w:type="dxa"/>
            <w:vAlign w:val="center"/>
          </w:tcPr>
          <w:p>
            <w:r>
              <w:rPr/>
              <w:t>实验协议 v2.1</w:t>
            </w:r>
          </w:p>
        </w:tc>
      </w:tr>
      <w:tr w14:paraId="24AC1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6" w:type="dxa"/>
            <w:vAlign w:val="center"/>
          </w:tcPr>
          <w:p>
            <w:r>
              <w:rPr/>
              <w:t>G5–G7 可选增强</w:t>
            </w:r>
          </w:p>
        </w:tc>
        <w:tc>
          <w:tcPr>
            <w:tcW w:w="2933" w:type="dxa"/>
            <w:vAlign w:val="center"/>
          </w:tcPr>
          <w:p>
            <w:r>
              <w:rPr/>
              <w:t>补充 MoE、表示或完整栈 case study</w:t>
            </w:r>
          </w:p>
        </w:tc>
        <w:tc>
          <w:tcPr>
            <w:tcW w:w="3086" w:type="dxa"/>
            <w:vAlign w:val="center"/>
          </w:tcPr>
          <w:p>
            <w:r>
              <w:rPr/>
              <w:t>不得影响核心组完成，不因文献增加新主线</w:t>
            </w:r>
          </w:p>
        </w:tc>
        <w:tc>
          <w:tcPr>
            <w:tcW w:w="1057" w:type="dxa"/>
            <w:vAlign w:val="center"/>
          </w:tcPr>
          <w:p>
            <w:r>
              <w:rPr/>
              <w:t>实验协议 v2.1</w:t>
            </w:r>
          </w:p>
        </w:tc>
      </w:tr>
    </w:tbl>
    <w:p w14:paraId="7C287D7A">
      <w:pPr>
        <w:spacing w:after="20"/>
        <w:rPr>
          <w:rFonts w:ascii="Times New Roman" w:hAnsi="Times New Roman" w:eastAsia="宋体"/>
          <w:highlight w:val="none"/>
        </w:rPr>
      </w:pPr>
    </w:p>
    <w:p w14:paraId="2243384F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Q0 是 correctness 硬门；N1 以人为 completion-boundary intervention 检验局部指标，G1 在自然逐 Token 同步与预定义 workload 下检验 activity→exposure 的比例、非比例或区间依赖关系；G2 才检验 held-out decision gain。G3/G4 为可选适用边界，G5–G7 延后。</w:t>
      </w:r>
    </w:p>
    <w:p w14:paraId="7938B803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若 compile/graph 在 Pilot 中输出不一致、graph break/capture 不稳定或无法形成可审计同栈干预，则删除或收缩 G2，不修改框架源码、不临时改用跨栈 endpoint，也不改变 A/B 测量语义。</w:t>
      </w:r>
    </w:p>
    <w:p w14:paraId="21EF690F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3.4 三幅核心图、论文证据链与 Artifact</w:t>
      </w:r>
    </w:p>
    <w:p>
      <w:pPr/>
      <w:r>
        <w:rPr>
          <w:color w:val="000000"/>
        </w:rPr>
        <w:t>Figure 1 说明 Raw trace 如何经 S 恢复 W(s)/terminal/validity 并形成 A/B；Figure 2 用 G1 检验 activity 与 exposure 何时同比、非同比或依赖执行区间；Figure 3 用 G2 检验这些新增信息是否影响真实优化响应。三图分别对应测得是否正确、多知道了什么、这些信息是否有用。</w:t>
      </w:r>
    </w:p>
    <w:p w14:paraId="2F71BDC3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阶段四将 Q0 与 G1–G4 组织为正文证据链，将 G5–G7 作为按主张选择的 case study 或附录；同步完成 code/registry/protocol freeze、one-command 小样例、预生成结果与全部停止/排除记录。正文主图优先回答方法正确性、W 结构迁移、C 可行动性、M 泛化和 P 外部有效性。</w:t>
      </w:r>
    </w:p>
    <w:tbl>
      <w:tblPr>
        <w:tblStyle w:val="3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4311"/>
        <w:gridCol w:w="1746"/>
        <w:gridCol w:w="1415"/>
      </w:tblGrid>
      <w:tr w14:paraId="158D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>
            <w:r>
              <w:rPr/>
              <w:t>任务</w:t>
            </w:r>
          </w:p>
        </w:tc>
        <w:tc>
          <w:tcPr>
            <w:tcW w:w="4311" w:type="dxa"/>
            <w:shd w:val="clear" w:color="auto" w:fill="D9EAF7"/>
            <w:vAlign w:val="center"/>
          </w:tcPr>
          <w:p>
            <w:r>
              <w:rPr/>
              <w:t>内容</w:t>
            </w:r>
          </w:p>
        </w:tc>
        <w:tc>
          <w:tcPr>
            <w:tcW w:w="1746" w:type="dxa"/>
            <w:shd w:val="clear" w:color="auto" w:fill="D9EAF7"/>
            <w:vAlign w:val="center"/>
          </w:tcPr>
          <w:p>
            <w:r>
              <w:rPr/>
              <w:t>完成产物</w:t>
            </w:r>
          </w:p>
        </w:tc>
        <w:tc>
          <w:tcPr>
            <w:tcW w:w="1415" w:type="dxa"/>
            <w:shd w:val="clear" w:color="auto" w:fill="D9EAF7"/>
            <w:vAlign w:val="center"/>
          </w:tcPr>
          <w:p>
            <w:r>
              <w:rPr/>
              <w:t>预计周期</w:t>
            </w:r>
          </w:p>
        </w:tc>
      </w:tr>
      <w:tr w14:paraId="58245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核心结果建模</w:t>
            </w:r>
          </w:p>
        </w:tc>
        <w:tc>
          <w:tcPr>
            <w:tcW w:w="4311" w:type="dxa"/>
            <w:vAlign w:val="center"/>
          </w:tcPr>
          <w:p>
            <w:r>
              <w:rPr/>
              <w:t>G1 的条件化趋势/热图、A 绝对值/share、P0/P1 差异；G2 的 speedup-vs-D；G3/G4 的泛化。</w:t>
            </w:r>
          </w:p>
        </w:tc>
        <w:tc>
          <w:tcPr>
            <w:tcW w:w="1746" w:type="dxa"/>
            <w:vAlign w:val="center"/>
          </w:tcPr>
          <w:p>
            <w:r>
              <w:rPr/>
              <w:t>正文主图和主表</w:t>
            </w:r>
          </w:p>
        </w:tc>
        <w:tc>
          <w:tcPr>
            <w:tcW w:w="1415" w:type="dxa"/>
            <w:vAlign w:val="center"/>
          </w:tcPr>
          <w:p>
            <w:r>
              <w:rPr/>
              <w:t>1–2 周</w:t>
            </w:r>
          </w:p>
        </w:tc>
      </w:tr>
      <w:tr w14:paraId="355B2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方法机制案例</w:t>
            </w:r>
          </w:p>
        </w:tc>
        <w:tc>
          <w:tcPr>
            <w:tcW w:w="4311" w:type="dxa"/>
            <w:vAlign w:val="center"/>
          </w:tcPr>
          <w:p>
            <w:r>
              <w:rPr/>
              <w:t>Q0 ground truth、Raw sum 错误案例、代表 timeline、B 分布与 fail-closed。</w:t>
            </w:r>
          </w:p>
        </w:tc>
        <w:tc>
          <w:tcPr>
            <w:tcW w:w="1746" w:type="dxa"/>
            <w:vAlign w:val="center"/>
          </w:tcPr>
          <w:p>
            <w:r>
              <w:rPr/>
              <w:t>方法验证图和 2–4 个案例</w:t>
            </w:r>
          </w:p>
        </w:tc>
        <w:tc>
          <w:tcPr>
            <w:tcW w:w="1415" w:type="dxa"/>
            <w:vAlign w:val="center"/>
          </w:tcPr>
          <w:p>
            <w:r>
              <w:rPr/>
              <w:t>3–5 天</w:t>
            </w:r>
          </w:p>
        </w:tc>
      </w:tr>
      <w:tr w14:paraId="286C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增强 case study</w:t>
            </w:r>
          </w:p>
        </w:tc>
        <w:tc>
          <w:tcPr>
            <w:tcW w:w="4311" w:type="dxa"/>
            <w:vAlign w:val="center"/>
          </w:tcPr>
          <w:p>
            <w:r>
              <w:rPr/>
              <w:t>按论文主张选择 G5、G6 或 G7 中一至两个；其余放入附录或 future work。</w:t>
            </w:r>
          </w:p>
        </w:tc>
        <w:tc>
          <w:tcPr>
            <w:tcW w:w="1746" w:type="dxa"/>
            <w:vAlign w:val="center"/>
          </w:tcPr>
          <w:p>
            <w:r>
              <w:rPr/>
              <w:t>case-study 图表</w:t>
            </w:r>
          </w:p>
        </w:tc>
        <w:tc>
          <w:tcPr>
            <w:tcW w:w="1415" w:type="dxa"/>
            <w:vAlign w:val="center"/>
          </w:tcPr>
          <w:p>
            <w:r>
              <w:rPr/>
              <w:t>额外 1–2 周</w:t>
            </w:r>
          </w:p>
        </w:tc>
      </w:tr>
      <w:tr w14:paraId="6320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0" w:type="dxa"/>
            <w:vAlign w:val="center"/>
          </w:tcPr>
          <w:p>
            <w:r>
              <w:rPr/>
              <w:t>现有方法对比</w:t>
            </w:r>
          </w:p>
        </w:tc>
        <w:tc>
          <w:tcPr>
            <w:tcW w:w="4311" w:type="dxa"/>
            <w:vAlign w:val="center"/>
          </w:tcPr>
          <w:p>
            <w:r>
              <w:rPr/>
              <w:t>raw sum、GPU utilization、queue/TKLQT/Host residual 类指标与 ExposedPath 的解释差异。</w:t>
            </w:r>
          </w:p>
        </w:tc>
        <w:tc>
          <w:tcPr>
            <w:tcW w:w="1746" w:type="dxa"/>
            <w:vAlign w:val="center"/>
          </w:tcPr>
          <w:p>
            <w:r>
              <w:rPr/>
              <w:t>baseline comparison</w:t>
            </w:r>
          </w:p>
        </w:tc>
        <w:tc>
          <w:tcPr>
            <w:tcW w:w="1415" w:type="dxa"/>
            <w:vAlign w:val="center"/>
          </w:tcPr>
          <w:p>
            <w:r>
              <w:rPr/>
              <w:t>3–5 天</w:t>
            </w:r>
          </w:p>
        </w:tc>
      </w:tr>
    </w:tbl>
    <w:p w14:paraId="3AEB85F6">
      <w:pPr>
        <w:spacing w:after="20"/>
        <w:rPr>
          <w:rFonts w:ascii="Times New Roman" w:hAnsi="Times New Roman" w:eastAsia="宋体"/>
          <w:highlight w:val="none"/>
        </w:rPr>
      </w:pPr>
    </w:p>
    <w:p w14:paraId="7A527295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3.5 Claim—实验组高层映射</w:t>
      </w:r>
    </w:p>
    <w:p w14:paraId="3DFB2984">
      <w:pPr>
        <w:pStyle w:val="16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本章只保留论文主张与证据块的对应关系。所有固定变量、执行次数、baseline 字段、质量门和成功/停止规则，以实验协议 v2.1 为唯一来源。</w:t>
      </w:r>
    </w:p>
    <w:tbl>
      <w:tblPr>
        <w:tblStyle w:val="34"/>
        <w:tblW w:w="85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1339"/>
        <w:gridCol w:w="3216"/>
        <w:gridCol w:w="2663"/>
      </w:tblGrid>
      <w:tr w14:paraId="774E1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>
            <w:r>
              <w:rPr/>
              <w:t>论文claim</w:t>
            </w:r>
          </w:p>
        </w:tc>
        <w:tc>
          <w:tcPr>
            <w:tcW w:w="1339" w:type="dxa"/>
            <w:vAlign w:val="center"/>
          </w:tcPr>
          <w:p>
            <w:r>
              <w:rPr/>
              <w:t>主要实验组</w:t>
            </w:r>
          </w:p>
        </w:tc>
        <w:tc>
          <w:tcPr>
            <w:tcW w:w="3216" w:type="dxa"/>
            <w:vAlign w:val="center"/>
          </w:tcPr>
          <w:p>
            <w:r>
              <w:rPr/>
              <w:t>必须观察到的证据</w:t>
            </w:r>
          </w:p>
        </w:tc>
        <w:tc>
          <w:tcPr>
            <w:tcW w:w="2663" w:type="dxa"/>
            <w:vAlign w:val="center"/>
          </w:tcPr>
          <w:p>
            <w:r>
              <w:rPr/>
              <w:t>失败时的降级</w:t>
            </w:r>
          </w:p>
        </w:tc>
      </w:tr>
      <w:tr w14:paraId="68FB8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方法可被信任</w:t>
            </w:r>
          </w:p>
        </w:tc>
        <w:tc>
          <w:tcPr>
            <w:tcW w:w="1339" w:type="dxa"/>
            <w:vAlign w:val="center"/>
          </w:tcPr>
          <w:p>
            <w:r>
              <w:rPr/>
              <w:t>Q0</w:t>
            </w:r>
          </w:p>
        </w:tc>
        <w:tc>
          <w:tcPr>
            <w:tcW w:w="3216" w:type="dxa"/>
            <w:vAlign w:val="center"/>
          </w:tcPr>
          <w:p>
            <w:r>
              <w:rPr/>
              <w:t>原子分区不变量；wait-set/terminal exact match；B oracle；fail-closed；真实 coverage</w:t>
            </w:r>
          </w:p>
        </w:tc>
        <w:tc>
          <w:tcPr>
            <w:tcW w:w="2663" w:type="dxa"/>
            <w:vAlign w:val="center"/>
          </w:tcPr>
          <w:p>
            <w:r>
              <w:rPr/>
              <w:t>停止扩矩阵并修复 analyzer</w:t>
            </w:r>
          </w:p>
        </w:tc>
      </w:tr>
      <w:tr w14:paraId="5DD7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方法具有不可替代性</w:t>
            </w:r>
          </w:p>
        </w:tc>
        <w:tc>
          <w:tcPr>
            <w:tcW w:w="1339" w:type="dxa"/>
            <w:vAlign w:val="center"/>
          </w:tcPr>
          <w:p>
            <w:r>
              <w:rPr/>
              <w:t>N1</w:t>
            </w:r>
          </w:p>
        </w:tc>
        <w:tc>
          <w:tcPr>
            <w:tcW w:w="3216" w:type="dxa"/>
            <w:vAlign w:val="center"/>
          </w:tcPr>
          <w:p>
            <w:r>
              <w:rPr/>
              <w:t>若存在稳定信息差异或明确等价边界，且 B 能解释；不预设必须误判</w:t>
            </w:r>
          </w:p>
        </w:tc>
        <w:tc>
          <w:tcPr>
            <w:tcW w:w="2663" w:type="dxa"/>
            <w:vAlign w:val="center"/>
          </w:tcPr>
          <w:p>
            <w:r>
              <w:rPr/>
              <w:t>降为鲁棒性压力测试，不作为主贡献</w:t>
            </w:r>
          </w:p>
        </w:tc>
      </w:tr>
      <w:tr w14:paraId="48995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工作负载产生非显然结构迁移</w:t>
            </w:r>
          </w:p>
        </w:tc>
        <w:tc>
          <w:tcPr>
            <w:tcW w:w="1339" w:type="dxa"/>
            <w:vAlign w:val="center"/>
          </w:tcPr>
          <w:p>
            <w:r>
              <w:rPr/>
              <w:t>G1</w:t>
            </w:r>
          </w:p>
        </w:tc>
        <w:tc>
          <w:tcPr>
            <w:tcW w:w="3216" w:type="dxa"/>
            <w:vAlign w:val="center"/>
          </w:tcPr>
          <w:p>
            <w:r>
              <w:rPr/>
              <w:t>允许同比、稳定非同比、区间依赖或 null；主张按结果限定</w:t>
            </w:r>
          </w:p>
        </w:tc>
        <w:tc>
          <w:tcPr>
            <w:tcW w:w="2663" w:type="dxa"/>
            <w:vAlign w:val="center"/>
          </w:tcPr>
          <w:p>
            <w:r>
              <w:rPr/>
              <w:t>收缩为方法论文或重新定义 workload</w:t>
            </w:r>
          </w:p>
        </w:tc>
      </w:tr>
      <w:tr w14:paraId="0F452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指标具有优化解释/指导价值</w:t>
            </w:r>
          </w:p>
        </w:tc>
        <w:tc>
          <w:tcPr>
            <w:tcW w:w="1339" w:type="dxa"/>
            <w:vAlign w:val="center"/>
          </w:tcPr>
          <w:p>
            <w:r>
              <w:rPr/>
              <w:t>G2</w:t>
            </w:r>
          </w:p>
        </w:tc>
        <w:tc>
          <w:tcPr>
            <w:tcW w:w="3216" w:type="dxa"/>
            <w:vAlign w:val="center"/>
          </w:tcPr>
          <w:p>
            <w:r>
              <w:rPr/>
              <w:t>预冻结留出验证；相对简单 baseline 有增量；ΣΔA 与 ΔT 闭合</w:t>
            </w:r>
          </w:p>
        </w:tc>
        <w:tc>
          <w:tcPr>
            <w:tcW w:w="2663" w:type="dxa"/>
            <w:vAlign w:val="center"/>
          </w:tcPr>
          <w:p>
            <w:r>
              <w:rPr/>
              <w:t>删除预测 claim，保留事后 accounting 或 characterization</w:t>
            </w:r>
          </w:p>
        </w:tc>
      </w:tr>
      <w:tr w14:paraId="32515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规律具有最低充分泛化</w:t>
            </w:r>
          </w:p>
        </w:tc>
        <w:tc>
          <w:tcPr>
            <w:tcW w:w="1339" w:type="dxa"/>
            <w:vAlign w:val="center"/>
          </w:tcPr>
          <w:p>
            <w:r>
              <w:rPr/>
              <w:t>G3/G4</w:t>
            </w:r>
          </w:p>
        </w:tc>
        <w:tc>
          <w:tcPr>
            <w:tcW w:w="3216" w:type="dxa"/>
            <w:vAlign w:val="center"/>
          </w:tcPr>
          <w:p>
            <w:r>
              <w:rPr/>
              <w:t>跨模型或平台形成稳定部分、可解释变化或清晰边界</w:t>
            </w:r>
          </w:p>
        </w:tc>
        <w:tc>
          <w:tcPr>
            <w:tcW w:w="2663" w:type="dxa"/>
            <w:vAlign w:val="center"/>
          </w:tcPr>
          <w:p>
            <w:r>
              <w:rPr/>
              <w:t>限制适用范围，不追求所有轴正结果</w:t>
            </w:r>
          </w:p>
        </w:tc>
      </w:tr>
      <w:tr w14:paraId="4A9F4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6" w:type="dxa"/>
            <w:vAlign w:val="center"/>
          </w:tcPr>
          <w:p>
            <w:r>
              <w:rPr/>
              <w:t>扩展机制具有附加价值</w:t>
            </w:r>
          </w:p>
        </w:tc>
        <w:tc>
          <w:tcPr>
            <w:tcW w:w="1339" w:type="dxa"/>
            <w:vAlign w:val="center"/>
          </w:tcPr>
          <w:p>
            <w:r>
              <w:rPr/>
              <w:t>G5–G7</w:t>
            </w:r>
          </w:p>
        </w:tc>
        <w:tc>
          <w:tcPr>
            <w:tcW w:w="3216" w:type="dxa"/>
            <w:vAlign w:val="center"/>
          </w:tcPr>
          <w:p>
            <w:r>
              <w:rPr/>
              <w:t>最多选择一至两个与主线直接相关的 case</w:t>
            </w:r>
          </w:p>
        </w:tc>
        <w:tc>
          <w:tcPr>
            <w:tcW w:w="2663" w:type="dxa"/>
            <w:vAlign w:val="center"/>
          </w:tcPr>
          <w:p>
            <w:r>
              <w:rPr/>
              <w:t>归入附录或未来工作</w:t>
            </w:r>
          </w:p>
        </w:tc>
      </w:tr>
    </w:tbl>
    <w:p w14:paraId="5A6D5B3D">
      <w:pPr>
        <w:pStyle w:val="3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第四章　最终贡献、CCF-A 证据要求、风险与扩展</w:t>
      </w:r>
    </w:p>
    <w:p w14:paraId="0E7F935F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4.1 最终可能形成的贡献</w:t>
      </w:r>
    </w:p>
    <w:p>
      <w:pPr>
        <w:pStyle w:val="168"/>
      </w:pPr>
      <w:r>
        <w:rPr>
          <w:color w:val="000000"/>
        </w:rPr>
        <w:t>以下贡献均为待证据支持的目标，而不是当前已完成事实。最高可防守主张由实际通过的 Gate 决定：Q0 支持正确性，N1/G1 支持信息增量，G2 支持决策增量；任何 null 或失败都必须触发对应 claim 收缩。</w:t>
      </w:r>
    </w:p>
    <w:p w14:paraId="5655637F">
      <w:pPr>
        <w:pStyle w:val="16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实验组—贡献映射：Q0→方法正确性；G1→工作负载条件化暴露结构；G2→指标指导配置优化的可行动性；G3→模型规模泛化；G4→平台外部有效性；G5/G6/G7 分别对应 MoE、表示路径和跨栈的可选增强边界。</w:t>
      </w:r>
    </w:p>
    <w:tbl>
      <w:tblPr>
        <w:tblStyle w:val="3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4541"/>
        <w:gridCol w:w="2845"/>
      </w:tblGrid>
      <w:tr w14:paraId="347D2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D813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贡献</w:t>
            </w:r>
          </w:p>
        </w:tc>
        <w:tc>
          <w:tcPr>
            <w:tcW w:w="4541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AF03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内容</w:t>
            </w:r>
          </w:p>
        </w:tc>
        <w:tc>
          <w:tcPr>
            <w:tcW w:w="2845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2F9B7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最低证据</w:t>
            </w:r>
          </w:p>
        </w:tc>
      </w:tr>
      <w:tr w14:paraId="48F95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9CF1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方法贡献</w:t>
            </w:r>
          </w:p>
        </w:tc>
        <w:tc>
          <w:tcPr>
            <w:tcW w:w="45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B92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同步语义感知的 request/phase 墙钟分区：A_host_path 采用剩余型方案 A，S/B 使用显式同步语义与 fail-closed。</w:t>
            </w:r>
          </w:p>
        </w:tc>
        <w:tc>
          <w:tcPr>
            <w:tcW w:w="28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78F2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Q0 微基准 oracle + 真实 trace coverage + artifact</w:t>
            </w:r>
          </w:p>
        </w:tc>
      </w:tr>
      <w:tr w14:paraId="1F45C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2BC6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指标贡献</w:t>
            </w:r>
          </w:p>
        </w:tc>
        <w:tc>
          <w:tcPr>
            <w:tcW w:w="454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40E6E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A 与 B 明确分层；terminal hidden/exposed execution 不混淆</w:t>
            </w:r>
          </w:p>
        </w:tc>
        <w:tc>
          <w:tcPr>
            <w:tcW w:w="284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2CD2F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公式、反例、自动一致性检查</w:t>
            </w:r>
          </w:p>
        </w:tc>
      </w:tr>
      <w:tr w14:paraId="64E5E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F73E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系统发现</w:t>
            </w:r>
          </w:p>
        </w:tc>
        <w:tc>
          <w:tcPr>
            <w:tcW w:w="45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F0E1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Prefill 的 W 迁移与 Decode 的平台条件化暴露</w:t>
            </w:r>
          </w:p>
        </w:tc>
        <w:tc>
          <w:tcPr>
            <w:tcW w:w="28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C77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双 GPU W 正式结果</w:t>
            </w:r>
          </w:p>
        </w:tc>
      </w:tr>
      <w:tr w14:paraId="417E8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9ED2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泛化贡献</w:t>
            </w:r>
          </w:p>
        </w:tc>
        <w:tc>
          <w:tcPr>
            <w:tcW w:w="454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CA5B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M/P/C 如何移动迁移阈值与执行结构</w:t>
            </w:r>
          </w:p>
        </w:tc>
        <w:tc>
          <w:tcPr>
            <w:tcW w:w="284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7447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第二模型 + 一个 stack/P 分层</w:t>
            </w:r>
          </w:p>
        </w:tc>
      </w:tr>
      <w:tr w14:paraId="46B1B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8EB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可行动性（可选）</w:t>
            </w:r>
          </w:p>
        </w:tc>
        <w:tc>
          <w:tcPr>
            <w:tcW w:w="45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A61E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指标预测同栈 compile/graph 配置的相对收益；跨栈 endpoint 仅作外部对照</w:t>
            </w:r>
          </w:p>
        </w:tc>
        <w:tc>
          <w:tcPr>
            <w:tcW w:w="28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E217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一个 PyTorch eager→compile/graph 配对对照</w:t>
            </w:r>
          </w:p>
        </w:tc>
      </w:tr>
    </w:tbl>
    <w:p w14:paraId="546C1BAA">
      <w:pPr>
        <w:spacing w:after="20"/>
        <w:rPr>
          <w:rFonts w:ascii="Times New Roman" w:hAnsi="Times New Roman" w:eastAsia="宋体"/>
        </w:rPr>
      </w:pPr>
    </w:p>
    <w:p w14:paraId="2FD3472D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4.2 Measurement/Characterization 能否达到 A 会</w:t>
      </w:r>
    </w:p>
    <w:p w14:paraId="1193DC0C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高水平 systems/measurement 研究不以是否自研算子作为唯一标准。本项目首先要证明测量对象新且正确，其次证明相对常规 activity 指标存在稳定、非冗余的信息，或明确界定常规指标已经充分的执行区间；若这些信息还能改变优化解释或优先级，才形成更强的 Decision Gain。强反转或反常识现象只是可能结果，不是预设成功条件。</w:t>
      </w:r>
    </w:p>
    <w:tbl>
      <w:tblPr>
        <w:tblStyle w:val="3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6954"/>
      </w:tblGrid>
      <w:tr w14:paraId="2A883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68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287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A会审查维度</w:t>
            </w:r>
          </w:p>
        </w:tc>
        <w:tc>
          <w:tcPr>
            <w:tcW w:w="6954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527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本项目需要的证据</w:t>
            </w:r>
          </w:p>
        </w:tc>
      </w:tr>
      <w:tr w14:paraId="06D8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86A6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Novelty</w:t>
            </w:r>
          </w:p>
        </w:tc>
        <w:tc>
          <w:tcPr>
            <w:tcW w:w="69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754CC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与 XSP、TKLQT、lm-Meter、TaxBreak 的边界清晰；同步语义与互斥墙钟是不可替代差异</w:t>
            </w:r>
          </w:p>
        </w:tc>
      </w:tr>
      <w:tr w14:paraId="7BB02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0632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Correctness</w:t>
            </w:r>
          </w:p>
        </w:tc>
        <w:tc>
          <w:tcPr>
            <w:tcW w:w="695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8011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原子分区不变量不是主要语义证据；核心是 wait-set/terminal exact match、B 独立 oracle、failure boundary、真实 coverage、profiling overhead 与 timestamp tolerance。</w:t>
            </w:r>
          </w:p>
        </w:tc>
      </w:tr>
      <w:tr w14:paraId="6B567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A47A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Generality</w:t>
            </w:r>
          </w:p>
        </w:tc>
        <w:tc>
          <w:tcPr>
            <w:tcW w:w="69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8BD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至少 W 双 GPU + 第二模型 + 一个同栈 C；外部 P 强烈推荐</w:t>
            </w:r>
          </w:p>
        </w:tc>
      </w:tr>
      <w:tr w14:paraId="4EDC3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15D61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Insight</w:t>
            </w:r>
          </w:p>
        </w:tc>
        <w:tc>
          <w:tcPr>
            <w:tcW w:w="695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证明 conventional activity metrics 何时足够、何时不能唯一或可靠推出 exposure；强反转不是必要条件</w:t>
            </w:r>
          </w:p>
        </w:tc>
      </w:tr>
      <w:tr w14:paraId="6EE00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E44FA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Actionability</w:t>
            </w:r>
          </w:p>
        </w:tc>
        <w:tc>
          <w:tcPr>
            <w:tcW w:w="69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04A6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无需自研算子，但应给出 framework/hardware/configuration implications；同栈 compile/graph 干预增强可行动性</w:t>
            </w:r>
          </w:p>
        </w:tc>
      </w:tr>
      <w:tr w14:paraId="28AE9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FE352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Artifact</w:t>
            </w:r>
          </w:p>
        </w:tc>
        <w:tc>
          <w:tcPr>
            <w:tcW w:w="695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EB47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从 trace 到图表可复现；指标定义可恢复</w:t>
            </w:r>
          </w:p>
        </w:tc>
      </w:tr>
    </w:tbl>
    <w:p w14:paraId="5A75771C">
      <w:pPr>
        <w:spacing w:after="20"/>
        <w:rPr>
          <w:rFonts w:ascii="Times New Roman" w:hAnsi="Times New Roman" w:eastAsia="宋体"/>
        </w:rPr>
      </w:pPr>
    </w:p>
    <w:p w14:paraId="092250F7">
      <w:pPr>
        <w:pStyle w:val="167"/>
        <w:shd w:val="clear" w:fill="E6F3EB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</w:rPr>
        <w:t>若最终只完成双 GPU、单模型的先导 characterization，通常不足以形成强 A 会故事；若完成正式 W、第二模型/stack 泛化和严谨 artifact，即使没有源码优化，也具有冲击高水平 measurement/system conference 的可能。</w:t>
      </w:r>
    </w:p>
    <w:p w14:paraId="01B6C0DE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4.3 主要风险与缓解</w:t>
      </w:r>
    </w:p>
    <w:tbl>
      <w:tblPr>
        <w:tblStyle w:val="34"/>
        <w:tblW w:w="84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3184"/>
        <w:gridCol w:w="4143"/>
      </w:tblGrid>
      <w:tr w14:paraId="34A34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899CF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风险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D7AE9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错误做法</w:t>
            </w:r>
          </w:p>
        </w:tc>
        <w:tc>
          <w:tcPr>
            <w:tcW w:w="4143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3AFC8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缓解</w:t>
            </w:r>
          </w:p>
        </w:tc>
      </w:tr>
      <w:tr w14:paraId="567F9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5CDE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B 语义混淆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C125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把 terminal_exec_total 写成 sync 阻塞；把 pre-sync 与 predecessor 相加</w:t>
            </w:r>
          </w:p>
        </w:tc>
        <w:tc>
          <w:tcPr>
            <w:tcW w:w="41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04FE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使用 hidden/exposed 划分，post 只做验证</w:t>
            </w:r>
          </w:p>
        </w:tc>
      </w:tr>
      <w:tr w14:paraId="2F544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492B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  <w:highlight w:val="none"/>
              </w:rPr>
            </w:pPr>
            <w:r>
              <w:rPr>
                <w:rFonts w:ascii="Times New Roman" w:hAnsi="Times New Roman" w:eastAsia="宋体"/>
                <w:sz w:val="17"/>
              </w:rPr>
              <w:t>研究边界过宽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639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  <w:highlight w:val="none"/>
              </w:rPr>
            </w:pPr>
            <w:r>
              <w:rPr>
                <w:rFonts w:ascii="Times New Roman" w:hAnsi="Times New Roman" w:eastAsia="宋体"/>
                <w:sz w:val="17"/>
              </w:rPr>
              <w:t>同时做所有 W/M/P/C 笛卡尔组合</w:t>
            </w:r>
          </w:p>
        </w:tc>
        <w:tc>
          <w:tcPr>
            <w:tcW w:w="4143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389D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G1 的 W 切片完整；G2-G4 统一 sentinel；vLLM/MoE/量化仅增强</w:t>
            </w:r>
          </w:p>
        </w:tc>
      </w:tr>
      <w:tr w14:paraId="11117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D530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CPU/GPU 混杂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8B2BE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把不同主机 GPU 差异称为 GPU 效应</w:t>
            </w:r>
          </w:p>
        </w:tc>
        <w:tc>
          <w:tcPr>
            <w:tcW w:w="41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A459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同服务器 P-core；外部设备作为完整平台</w:t>
            </w:r>
          </w:p>
        </w:tc>
      </w:tr>
      <w:tr w14:paraId="41003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885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短 decode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86A13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output=16 代表 steady-state</w:t>
            </w:r>
          </w:p>
        </w:tc>
        <w:tc>
          <w:tcPr>
            <w:tcW w:w="4143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8696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正式增加 64/128 并分析中段 token</w:t>
            </w:r>
          </w:p>
        </w:tc>
      </w:tr>
      <w:tr w14:paraId="27258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707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Profiler overhead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E8DA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直接把 Nsight 数据当真实性能</w:t>
            </w:r>
          </w:p>
        </w:tc>
        <w:tc>
          <w:tcPr>
            <w:tcW w:w="41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29AF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Pass0/Pass1 对照</w:t>
            </w:r>
          </w:p>
        </w:tc>
      </w:tr>
      <w:tr w14:paraId="10612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A6D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与已有工作重叠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EAAB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只报告 Host/API/GPU 占比</w:t>
            </w:r>
          </w:p>
        </w:tc>
        <w:tc>
          <w:tcPr>
            <w:tcW w:w="4143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3F069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证明 sync semantics、conservation、fail-closed 与 per-sync provenance 的独特价值</w:t>
            </w:r>
          </w:p>
        </w:tc>
      </w:tr>
      <w:tr w14:paraId="0F9CB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C4F09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占比误读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AC8C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只看 A share</w:t>
            </w:r>
          </w:p>
        </w:tc>
        <w:tc>
          <w:tcPr>
            <w:tcW w:w="41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91D2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绝对 ms 为主，share/overlap 为结构辅助</w:t>
            </w:r>
          </w:p>
        </w:tc>
      </w:tr>
      <w:tr w14:paraId="0E313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8734BA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基线与跨栈混淆</w:t>
            </w:r>
          </w:p>
        </w:tc>
        <w:tc>
          <w:tcPr>
            <w:tcW w:w="0" w:type="auto"/>
            <w:vAlign w:val="center"/>
          </w:tcPr>
          <w:p w14:paraId="524181A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把 PyTorch eager 写成“完全无优化”，或把 vLLM 与 eager 的差异解释为单一 CUDA Graph 效应</w:t>
            </w:r>
          </w:p>
        </w:tc>
        <w:tc>
          <w:tcPr>
            <w:tcW w:w="4143" w:type="dxa"/>
            <w:vAlign w:val="center"/>
          </w:tcPr>
          <w:p w14:paraId="02E210D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记录 eager 下实际 backend；核心 C 只做同栈配对，vLLM 明确为完整 computing-stack endpoint</w:t>
            </w:r>
          </w:p>
        </w:tc>
      </w:tr>
      <w:tr w14:paraId="36CC6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9" w:type="dxa"/>
            <w:vAlign w:val="center"/>
          </w:tcPr>
          <w:p w14:paraId="7A555BE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  <w:highlight w:val="none"/>
              </w:rPr>
            </w:pPr>
            <w:r>
              <w:rPr>
                <w:rFonts w:ascii="Times New Roman" w:hAnsi="Times New Roman" w:eastAsia="宋体"/>
                <w:sz w:val="17"/>
              </w:rPr>
              <w:t>Host 残差被过度解释</w:t>
            </w:r>
          </w:p>
        </w:tc>
        <w:tc>
          <w:tcPr>
            <w:tcW w:w="3184" w:type="dxa"/>
            <w:vAlign w:val="center"/>
          </w:tcPr>
          <w:p w14:paraId="22F767A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  <w:highlight w:val="none"/>
              </w:rPr>
            </w:pPr>
            <w:r>
              <w:rPr>
                <w:rFonts w:ascii="Times New Roman" w:hAnsi="Times New Roman" w:eastAsia="宋体"/>
                <w:sz w:val="17"/>
              </w:rPr>
              <w:t>把 A_host_path 当成 CPU busy time、具体 CPU 根因或可直接优化空间</w:t>
            </w:r>
          </w:p>
        </w:tc>
        <w:tc>
          <w:tcPr>
            <w:tcW w:w="4143" w:type="dxa"/>
            <w:vAlign w:val="center"/>
          </w:tcPr>
          <w:p w14:paraId="5FE4B70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7"/>
                <w:highlight w:val="none"/>
              </w:rPr>
            </w:pPr>
            <w:r>
              <w:rPr>
                <w:rFonts w:ascii="Times New Roman" w:hAnsi="Times New Roman" w:eastAsia="宋体"/>
                <w:sz w:val="17"/>
              </w:rPr>
              <w:t>保留方案 A 和字段名；明确其为请求 Host 路径剩余型 accounting，证据不足进 A_unattributed；将 CPU 执行/等待/抢占去卷积列为开放问题。</w:t>
            </w:r>
          </w:p>
        </w:tc>
      </w:tr>
    </w:tbl>
    <w:p w14:paraId="67B19FF6">
      <w:pPr>
        <w:spacing w:after="20"/>
        <w:rPr>
          <w:rFonts w:ascii="Times New Roman" w:hAnsi="Times New Roman" w:eastAsia="宋体"/>
        </w:rPr>
      </w:pPr>
    </w:p>
    <w:p w14:paraId="4519A5FA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4.4 扩展路线</w:t>
      </w:r>
    </w:p>
    <w:p w14:paraId="72D6468E">
      <w:pPr>
        <w:pStyle w:val="16"/>
        <w:ind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端侧扩展：Jetson/移动设备需要把外层 tokenization、统一内存、功耗和 thermal throttling 纳入 P；可以形成后续独立研究。</w:t>
      </w:r>
    </w:p>
    <w:p w14:paraId="5D3731E0">
      <w:pPr>
        <w:pStyle w:val="16"/>
        <w:ind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多 GPU 扩展：需加入 NCCL/通信 wait set 和跨设备 critical path。</w:t>
      </w:r>
    </w:p>
    <w:p w14:paraId="07FDA8A6">
      <w:pPr>
        <w:pStyle w:val="16"/>
        <w:ind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CPU 侧剩余路径去卷积（本文明确开放问题）：A_host_path 采用方案 A，只回答剩余 Host 请求路径占用了多少墙钟；未来可结合 owner-thread 状态、Python/C++ instrumentation、CPU sampling、调度/抢占和 runtime 内部事件，进一步区分 CPU 执行、等待与不可观测根因。</w:t>
      </w:r>
    </w:p>
    <w:p w14:paraId="2721D3E1">
      <w:pPr>
        <w:pStyle w:val="16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这一困难不是当前方案的缺陷掩盖，而是本文主动限定的观察边界：同步语义可以可靠恢复被等待 GPU 工作，但仅依赖 Nsys/NVTX 很难对所有 Host 残差进行细粒度、跨框架且低扰动的根因归因。</w:t>
      </w:r>
    </w:p>
    <w:p w14:paraId="53197DF1">
      <w:pPr>
        <w:pStyle w:val="16"/>
        <w:ind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预测扩展：若未来需要估计优化收益，可借鉴 causal profiling 或 dependency simulation，但不属于当前核心方法。</w:t>
      </w:r>
    </w:p>
    <w:p w14:paraId="772CDEB5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4.5 最终停止与降级条件</w:t>
      </w:r>
    </w:p>
    <w:p>
      <w:pPr>
        <w:pStyle w:val="167"/>
      </w:pPr>
      <w:r>
        <w:rPr>
          <w:color w:val="000000"/>
        </w:rPr>
        <w:t>研究成败由证据等级决定：Q0 失败时停止扩展实验并修正测量语义；Q0 通过但 N1/G1 显示传统指标始终充分时，保留方法正确性与等价边界，重新评估 Information Gain 主张；出现稳定非冗余信息时形成核心实证贡献；只有 held-out G2 进一步增加优化解释或优先级信息时，才声称 Decision Gain。</w:t>
      </w:r>
    </w:p>
    <w:tbl>
      <w:tblPr>
        <w:tblStyle w:val="34"/>
        <w:tblW w:w="84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6"/>
        <w:gridCol w:w="5690"/>
      </w:tblGrid>
      <w:tr w14:paraId="11E7E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DF0B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结果</w:t>
            </w:r>
          </w:p>
        </w:tc>
        <w:tc>
          <w:tcPr>
            <w:tcW w:w="569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7A7B4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合理决策</w:t>
            </w:r>
          </w:p>
        </w:tc>
      </w:tr>
      <w:tr w14:paraId="4F403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9E27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RQ1 失败</w:t>
            </w:r>
          </w:p>
        </w:tc>
        <w:tc>
          <w:tcPr>
            <w:tcW w:w="569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293E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停止扩展矩阵，修复同步/边界语义</w:t>
            </w:r>
          </w:p>
        </w:tc>
      </w:tr>
      <w:tr w14:paraId="409A4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A61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RQ1 通过、W 迁移不稳定</w:t>
            </w:r>
          </w:p>
        </w:tc>
        <w:tc>
          <w:tcPr>
            <w:tcW w:w="569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保留 Q0 方法贡献，按冻结结果收缩 Information Gain；不得看完 Formal 结果后重选 workload</w:t>
            </w:r>
          </w:p>
        </w:tc>
      </w:tr>
      <w:tr w14:paraId="1B636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DA5E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W 成立但 M 或 compile/graph 干预不复制</w:t>
            </w:r>
          </w:p>
        </w:tc>
        <w:tc>
          <w:tcPr>
            <w:tcW w:w="569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7432C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明确模型/执行模式适用范围；保留零结果，不临时更换 vLLM 追求正结果</w:t>
            </w:r>
          </w:p>
        </w:tc>
      </w:tr>
      <w:tr w14:paraId="5141B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F0D96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无稳定 compile/graph 干预</w:t>
            </w:r>
          </w:p>
        </w:tc>
        <w:tc>
          <w:tcPr>
            <w:tcW w:w="569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65FF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保留 measurement/characterization，不强行改框架源码或改用跨栈对照冒充单变量干预</w:t>
            </w:r>
          </w:p>
        </w:tc>
      </w:tr>
      <w:tr w14:paraId="2AD5C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1508A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外部设备不可得</w:t>
            </w:r>
          </w:p>
        </w:tc>
        <w:tc>
          <w:tcPr>
            <w:tcW w:w="569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23B25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不阻塞；优先补第二模型和 C</w:t>
            </w:r>
          </w:p>
        </w:tc>
      </w:tr>
      <w:tr w14:paraId="259B6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7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0CDD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所有主证据成立</w:t>
            </w:r>
          </w:p>
        </w:tc>
        <w:tc>
          <w:tcPr>
            <w:tcW w:w="569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DC7B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形成方法—发现—泛化—系统启示的完整故事</w:t>
            </w:r>
          </w:p>
        </w:tc>
      </w:tr>
    </w:tbl>
    <w:p w14:paraId="15799EDE">
      <w:pPr>
        <w:spacing w:after="20"/>
        <w:rPr>
          <w:rFonts w:ascii="Times New Roman" w:hAnsi="Times New Roman" w:eastAsia="宋体"/>
        </w:rPr>
      </w:pPr>
    </w:p>
    <w:p w14:paraId="3B368ED6">
      <w:pPr>
        <w:pStyle w:val="4"/>
        <w:keepNext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4.6 最终研究主句</w:t>
      </w:r>
    </w:p>
    <w:p w14:paraId="4B2E0BC5">
      <w:pPr>
        <w:pStyle w:val="167"/>
        <w:keepNext w:val="0"/>
        <w:keepLines/>
        <w:shd w:val="clear" w:fill="E6F3EB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ExposedPath 面向单 GPU、请求内部的纯模型推理，依据 synchronization/completion semantics 把 activity 映射为 request-visible exposure：S 恢复 W(s)、terminal 证据与 validity；A 形成 request/phase 互斥墙钟 accounting；B 保留 per-sync hidden/exposed provenance；D 负责导航，Exposure Signature 负责从冻结 A/B 汇总机制。论文证据按 Correctness→Information Gain→Decision Gain 逐级成立。</w:t>
      </w:r>
    </w:p>
    <w:p w14:paraId="56656CC6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附录 A　核心指标字典</w:t>
      </w:r>
    </w:p>
    <w:tbl>
      <w:tblPr>
        <w:tblStyle w:val="34"/>
        <w:tblW w:w="85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1067"/>
        <w:gridCol w:w="1653"/>
        <w:gridCol w:w="3214"/>
      </w:tblGrid>
      <w:tr w14:paraId="5A8EF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1CA52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指标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98B47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类型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CA3C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是否组成墙钟</w:t>
            </w:r>
          </w:p>
        </w:tc>
        <w:tc>
          <w:tcPr>
            <w:tcW w:w="3191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6A4D0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7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用途</w:t>
            </w:r>
          </w:p>
        </w:tc>
      </w:tr>
      <w:tr w14:paraId="74EBF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2DE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A_host_path / A_cuda_api / A_device_wait / A_sync_residual / A_unattributed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8D7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阶段 wall-clock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18C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是，互斥守恒</w:t>
            </w:r>
          </w:p>
        </w:tc>
        <w:tc>
          <w:tcPr>
            <w:tcW w:w="3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2800A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主分析；其中 A_host_path 保留原字段名但采用方案 A 的剩余型请求 Host 路径定义，不等价于 CPU busy time。</w:t>
            </w:r>
          </w:p>
        </w:tc>
      </w:tr>
      <w:tr w14:paraId="6CDAF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89A88B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A_cuda_api_submit_ms / A_cuda_api_non_submit_ms</w:t>
            </w:r>
          </w:p>
        </w:tc>
        <w:tc>
          <w:tcPr>
            <w:tcW w:w="0" w:type="auto"/>
            <w:vAlign w:val="center"/>
          </w:tcPr>
          <w:p w14:paraId="0D89E79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A_cuda_api 二级互斥分解</w:t>
            </w:r>
          </w:p>
        </w:tc>
        <w:tc>
          <w:tcPr>
            <w:tcW w:w="0" w:type="auto"/>
            <w:vAlign w:val="center"/>
          </w:tcPr>
          <w:p w14:paraId="0336340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不新增；二者闭合为 A_cuda_api</w:t>
            </w:r>
          </w:p>
        </w:tc>
        <w:tc>
          <w:tcPr>
            <w:tcW w:w="3191" w:type="dxa"/>
            <w:vAlign w:val="center"/>
          </w:tcPr>
          <w:p w14:paraId="1444A63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区分设备工作提交路径与非提交 CUDA API 路径</w:t>
            </w:r>
          </w:p>
        </w:tc>
      </w:tr>
      <w:tr w14:paraId="22AFF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9B8869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A_device_wait_kernel_only_ms / A_device_wait_memop_only_ms / A_device_wait_kernel_memop_mixed_ms</w:t>
            </w:r>
          </w:p>
        </w:tc>
        <w:tc>
          <w:tcPr>
            <w:tcW w:w="0" w:type="auto"/>
            <w:vAlign w:val="center"/>
          </w:tcPr>
          <w:p w14:paraId="2F75EE0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A_device_wait 二级互斥分解</w:t>
            </w:r>
          </w:p>
        </w:tc>
        <w:tc>
          <w:tcPr>
            <w:tcW w:w="0" w:type="auto"/>
            <w:vAlign w:val="center"/>
          </w:tcPr>
          <w:p w14:paraId="2C3310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不新增；三者闭合为 A_device_wait</w:t>
            </w:r>
          </w:p>
        </w:tc>
        <w:tc>
          <w:tcPr>
            <w:tcW w:w="3191" w:type="dxa"/>
            <w:vAlign w:val="center"/>
          </w:tcPr>
          <w:p w14:paraId="233C8F7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区分同步暴露等待中的 kernel、显式 MemOp 及二者重叠构成</w:t>
            </w:r>
          </w:p>
        </w:tc>
      </w:tr>
      <w:tr w14:paraId="64E21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B839B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O_api_gpu_temporal / O_hostpath_gpu_temporal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2EA5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phase-level 时间重叠比例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BE8C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w="319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F88CE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描述 Host owner 与任意 invocation GPU activity 的时间并发；不表示依赖或关键路径覆盖</w:t>
            </w:r>
          </w:p>
        </w:tc>
      </w:tr>
      <w:tr w14:paraId="1A43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4D88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terminal_post_api_start_delay_ms / terminal_post_api_predecessor_ms / terminal_post_api_uncovered_gap_ms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503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条件性 launch-return 后启动诊断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CF1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w="3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3A46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仅在 terminal_launch_relation_status=POST_API_START 时解释 API 返回后的启动窗口</w:t>
            </w:r>
          </w:p>
        </w:tc>
      </w:tr>
      <w:tr w14:paraId="340C2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6AE42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terminal_launch_relation_status</w:t>
            </w:r>
          </w:p>
        </w:tc>
        <w:tc>
          <w:tcPr>
            <w:tcW w:w="0" w:type="auto"/>
            <w:vAlign w:val="center"/>
          </w:tcPr>
          <w:p w14:paraId="796CB65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per-sync 条件状态</w:t>
            </w:r>
          </w:p>
        </w:tc>
        <w:tc>
          <w:tcPr>
            <w:tcW w:w="0" w:type="auto"/>
            <w:vAlign w:val="center"/>
          </w:tcPr>
          <w:p w14:paraId="789B154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w="3191" w:type="dxa"/>
            <w:vAlign w:val="center"/>
          </w:tcPr>
          <w:p w14:paraId="6019163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说明 post-API 启动诊断是否适用；不影响核心 B_valid</w:t>
            </w:r>
          </w:p>
        </w:tc>
      </w:tr>
      <w:tr w14:paraId="58560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82FF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terminal_exec_total_ms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064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activity 属性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BE6E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w="319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8AC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terminal 完整执行成本</w:t>
            </w:r>
          </w:p>
        </w:tc>
      </w:tr>
      <w:tr w14:paraId="78D58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BE7FF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terminal_exec_pre_sync_ms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1EF08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隐藏部分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E3C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w="3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71DB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host 开始等待前已完成的进度</w:t>
            </w:r>
          </w:p>
        </w:tc>
      </w:tr>
      <w:tr w14:paraId="3C64F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4B328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terminal_exec_overlap_sync_ms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2517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局部暴露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EB1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否；不能跨 sync 加和</w:t>
            </w:r>
          </w:p>
        </w:tc>
        <w:tc>
          <w:tcPr>
            <w:tcW w:w="319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526E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terminal 对当前 sync 的设备暴露</w:t>
            </w:r>
          </w:p>
        </w:tc>
      </w:tr>
      <w:tr w14:paraId="1EE2A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B3AE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sync_return_tail_ms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B297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局部 residual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10F3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已包含于 A_sync_residual</w:t>
            </w:r>
          </w:p>
        </w:tc>
        <w:tc>
          <w:tcPr>
            <w:tcW w:w="3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AF697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解释返回路径</w:t>
            </w:r>
          </w:p>
        </w:tc>
      </w:tr>
      <w:tr w14:paraId="37697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D5D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terminal_exec_post_sync_ms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712C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validation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8AD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w="319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F754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</w:rPr>
            </w:pPr>
            <w:r>
              <w:rPr>
                <w:rFonts w:ascii="Times New Roman" w:hAnsi="Times New Roman" w:eastAsia="宋体"/>
                <w:sz w:val="20"/>
              </w:rPr>
              <w:t>非零通常表示时间顺序/语义异常</w:t>
            </w:r>
          </w:p>
        </w:tc>
      </w:tr>
      <w:tr w14:paraId="57438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2CC"/>
            <w:vAlign w:val="center"/>
          </w:tcPr>
          <w:p w14:paraId="470B6C6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D_margin_ms</w:t>
            </w:r>
          </w:p>
        </w:tc>
        <w:tc>
          <w:tcPr>
            <w:tcW w:w="0" w:type="auto"/>
            <w:shd w:val="clear" w:color="auto" w:fill="FFF2CC"/>
            <w:vAlign w:val="center"/>
          </w:tcPr>
          <w:p w14:paraId="1FB820D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repeat/phase 派生差值</w:t>
            </w:r>
          </w:p>
        </w:tc>
        <w:tc>
          <w:tcPr>
            <w:tcW w:w="0" w:type="auto"/>
            <w:shd w:val="clear" w:color="auto" w:fill="FFF2CC"/>
            <w:vAlign w:val="center"/>
          </w:tcPr>
          <w:p w14:paraId="087AA36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w="3191" w:type="dxa"/>
            <w:shd w:val="clear" w:color="auto" w:fill="FFF2CC"/>
            <w:vAlign w:val="center"/>
          </w:tcPr>
          <w:p w14:paraId="743A180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A_device_wait−(A_host_path+A_cuda_api)，绝对毫秒差。</w:t>
            </w:r>
          </w:p>
        </w:tc>
      </w:tr>
      <w:tr w14:paraId="44944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2CC"/>
            <w:vAlign w:val="center"/>
          </w:tcPr>
          <w:p w14:paraId="7423D51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D_score</w:t>
            </w:r>
          </w:p>
        </w:tc>
        <w:tc>
          <w:tcPr>
            <w:tcW w:w="0" w:type="auto"/>
            <w:shd w:val="clear" w:color="auto" w:fill="FFF2CC"/>
            <w:vAlign w:val="center"/>
          </w:tcPr>
          <w:p w14:paraId="720F74B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repeat/phase 归一化主导度</w:t>
            </w:r>
          </w:p>
        </w:tc>
        <w:tc>
          <w:tcPr>
            <w:tcW w:w="0" w:type="auto"/>
            <w:shd w:val="clear" w:color="auto" w:fill="FFF2CC"/>
            <w:vAlign w:val="center"/>
          </w:tcPr>
          <w:p w14:paraId="47C0019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w="3191" w:type="dxa"/>
            <w:shd w:val="clear" w:color="auto" w:fill="FFF2CC"/>
            <w:vAlign w:val="center"/>
          </w:tcPr>
          <w:p w14:paraId="78CA308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D_margin / (A_device_wait + A_host_path + A_cuda_api)，用于离散 W 网格上的条件化趋势、二维热图与跨条件比较。</w:t>
            </w:r>
          </w:p>
        </w:tc>
      </w:tr>
      <w:tr w14:paraId="2FC87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2CC"/>
            <w:vAlign w:val="center"/>
          </w:tcPr>
          <w:p w14:paraId="2F4AD75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dominance_state</w:t>
            </w:r>
          </w:p>
        </w:tc>
        <w:tc>
          <w:tcPr>
            <w:tcW w:w="0" w:type="auto"/>
            <w:shd w:val="clear" w:color="auto" w:fill="FFF2CC"/>
            <w:vAlign w:val="center"/>
          </w:tcPr>
          <w:p w14:paraId="7F01D5D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WMPC 级统计状态</w:t>
            </w:r>
          </w:p>
        </w:tc>
        <w:tc>
          <w:tcPr>
            <w:tcW w:w="0" w:type="auto"/>
            <w:shd w:val="clear" w:color="auto" w:fill="FFF2CC"/>
            <w:vAlign w:val="center"/>
          </w:tcPr>
          <w:p w14:paraId="34D6130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w="3191" w:type="dxa"/>
            <w:shd w:val="clear" w:color="auto" w:fill="FFF2CC"/>
            <w:vAlign w:val="center"/>
          </w:tcPr>
          <w:p w14:paraId="44E51C2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依据 repeat-level D_score 的 95% CI 全负、全正或跨 0，分别标记 Host/API 主导、device-wait 主导或 transition/uncertain。</w:t>
            </w:r>
          </w:p>
        </w:tc>
      </w:tr>
      <w:tr w14:paraId="2A366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0" w:type="dxa"/>
            <w:shd w:val="clear" w:color="auto" w:fill="FFF2CC"/>
            <w:vAlign w:val="center"/>
          </w:tcPr>
          <w:p w14:paraId="2656BDD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supported_sync_count/duration_coverage</w:t>
            </w:r>
          </w:p>
        </w:tc>
        <w:tc>
          <w:tcPr>
            <w:tcW w:w="1117" w:type="dxa"/>
            <w:shd w:val="clear" w:color="auto" w:fill="FFF2CC"/>
            <w:vAlign w:val="center"/>
          </w:tcPr>
          <w:p w14:paraId="0B39899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S 层质量覆盖</w:t>
            </w:r>
          </w:p>
        </w:tc>
        <w:tc>
          <w:tcPr>
            <w:tcW w:w="1739" w:type="dxa"/>
            <w:shd w:val="clear" w:color="auto" w:fill="FFF2CC"/>
            <w:vAlign w:val="center"/>
          </w:tcPr>
          <w:p w14:paraId="4299523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w="3191" w:type="dxa"/>
            <w:shd w:val="clear" w:color="auto" w:fill="FFF2CC"/>
            <w:vAlign w:val="center"/>
          </w:tcPr>
          <w:p w14:paraId="56F8C59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sz w:val="20"/>
              </w:rPr>
              <w:t>限定 wait-set/B 结论代表范围；分母为阶段内全部 physical blocking sync。</w:t>
            </w:r>
          </w:p>
        </w:tc>
      </w:tr>
    </w:tbl>
    <w:p w14:paraId="177FA8C6">
      <w:pPr>
        <w:spacing w:after="20"/>
        <w:rPr>
          <w:rFonts w:ascii="Times New Roman" w:hAnsi="Times New Roman" w:eastAsia="宋体"/>
        </w:rPr>
      </w:pPr>
    </w:p>
    <w:p w14:paraId="4D3D0C25">
      <w:pPr>
        <w:pStyle w:val="3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附录 B　正确性合同与 Claim—实验映射</w:t>
      </w:r>
    </w:p>
    <w:tbl>
      <w:tblPr>
        <w:tblStyle w:val="34"/>
        <w:tblW w:w="98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3550"/>
        <w:gridCol w:w="2360"/>
        <w:gridCol w:w="2667"/>
      </w:tblGrid>
      <w:tr w14:paraId="2D4D0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4ACCC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合同层</w:t>
            </w:r>
          </w:p>
        </w:tc>
        <w:tc>
          <w:tcPr>
            <w:tcW w:w="3216" w:type="dxa"/>
            <w:vAlign w:val="center"/>
          </w:tcPr>
          <w:p w14:paraId="08EB70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必须成立的条件</w:t>
            </w:r>
          </w:p>
        </w:tc>
        <w:tc>
          <w:tcPr>
            <w:tcW w:w="2143" w:type="dxa"/>
            <w:vAlign w:val="center"/>
          </w:tcPr>
          <w:p w14:paraId="07FC13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验证来源</w:t>
            </w:r>
          </w:p>
        </w:tc>
        <w:tc>
          <w:tcPr>
            <w:tcW w:w="3216" w:type="dxa"/>
            <w:vAlign w:val="center"/>
          </w:tcPr>
          <w:p w14:paraId="0002E4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论文可声称内容</w:t>
            </w:r>
          </w:p>
        </w:tc>
      </w:tr>
      <w:tr w14:paraId="1DBCB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1267C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分区实现不变量</w:t>
            </w:r>
          </w:p>
        </w:tc>
        <w:tc>
          <w:tcPr>
            <w:tcW w:w="3216" w:type="dxa"/>
            <w:vAlign w:val="center"/>
          </w:tcPr>
          <w:p w14:paraId="233A17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跨 A 重复=0 ns；加入 unattributed 后未覆盖=0 ns；越界/负时长=0</w:t>
            </w:r>
          </w:p>
        </w:tc>
        <w:tc>
          <w:tcPr>
            <w:tcW w:w="2143" w:type="dxa"/>
            <w:vAlign w:val="center"/>
          </w:tcPr>
          <w:p w14:paraId="173582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整数时间戳单元测试与回归测试</w:t>
            </w:r>
          </w:p>
        </w:tc>
        <w:tc>
          <w:tcPr>
            <w:tcW w:w="3216" w:type="dxa"/>
            <w:vAlign w:val="center"/>
          </w:tcPr>
          <w:p w14:paraId="25457B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实现按优先级形成完整互斥分区</w:t>
            </w:r>
          </w:p>
        </w:tc>
      </w:tr>
      <w:tr w14:paraId="7B4C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5B922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A_host_path 方案 A</w:t>
            </w:r>
          </w:p>
        </w:tc>
        <w:tc>
          <w:tcPr>
            <w:tcW w:w="3216" w:type="dxa"/>
            <w:vAlign w:val="center"/>
          </w:tcPr>
          <w:p w14:paraId="50237B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仅在 ownership/边界成立且不属于其他证据类时接收剩余 Host 路径；不把未知强塞入 Host</w:t>
            </w:r>
          </w:p>
        </w:tc>
        <w:tc>
          <w:tcPr>
            <w:tcW w:w="2143" w:type="dxa"/>
            <w:vAlign w:val="center"/>
          </w:tcPr>
          <w:p w14:paraId="1CAD3C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分类规则、synthetic trace 与真实 invalid case</w:t>
            </w:r>
          </w:p>
        </w:tc>
        <w:tc>
          <w:tcPr>
            <w:tcW w:w="3216" w:type="dxa"/>
            <w:vAlign w:val="center"/>
          </w:tcPr>
          <w:p w14:paraId="6B0B25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报告剩余型 Host 路径，而非 CPU busy/root cause</w:t>
            </w:r>
          </w:p>
        </w:tc>
      </w:tr>
      <w:tr w14:paraId="5F384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DAE44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 同步语义</w:t>
            </w:r>
          </w:p>
        </w:tc>
        <w:tc>
          <w:tcPr>
            <w:tcW w:w="3216" w:type="dxa"/>
            <w:vAlign w:val="center"/>
          </w:tcPr>
          <w:p w14:paraId="47A80B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支持微基准 wait-set activity ID、类型与数量 exact match</w:t>
            </w:r>
          </w:p>
        </w:tc>
        <w:tc>
          <w:tcPr>
            <w:tcW w:w="2143" w:type="dxa"/>
            <w:vAlign w:val="center"/>
          </w:tcPr>
          <w:p w14:paraId="7E4C83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CUDA C++ stream/device/event/multi-stream 微基准</w:t>
            </w:r>
          </w:p>
        </w:tc>
        <w:tc>
          <w:tcPr>
            <w:tcW w:w="3216" w:type="dxa"/>
            <w:vAlign w:val="center"/>
          </w:tcPr>
          <w:p w14:paraId="23C46A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在声明支持条件下恢复实际等待集合</w:t>
            </w:r>
          </w:p>
        </w:tc>
      </w:tr>
      <w:tr w14:paraId="2828F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E4F2B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 局部语义</w:t>
            </w:r>
          </w:p>
        </w:tc>
        <w:tc>
          <w:tcPr>
            <w:tcW w:w="3216" w:type="dxa"/>
            <w:vAlign w:val="center"/>
          </w:tcPr>
          <w:p w14:paraId="07C03F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 ID exact match；hidden/overlap/tail 与独立 oracle 在容差内一致</w:t>
            </w:r>
          </w:p>
        </w:tc>
        <w:tc>
          <w:tcPr>
            <w:tcW w:w="2143" w:type="dxa"/>
            <w:vAlign w:val="center"/>
          </w:tcPr>
          <w:p w14:paraId="7F0A47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独立 oracle 读取 Raw 时间戳</w:t>
            </w:r>
          </w:p>
        </w:tc>
        <w:tc>
          <w:tcPr>
            <w:tcW w:w="3216" w:type="dxa"/>
            <w:vAlign w:val="center"/>
          </w:tcPr>
          <w:p w14:paraId="4EB88C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解释单次同步的局部末端生命周期</w:t>
            </w:r>
          </w:p>
        </w:tc>
      </w:tr>
      <w:tr w14:paraId="67F91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1C3D9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Fail-closed</w:t>
            </w:r>
          </w:p>
        </w:tc>
        <w:tc>
          <w:tcPr>
            <w:tcW w:w="3216" w:type="dxa"/>
            <w:vAlign w:val="center"/>
          </w:tcPr>
          <w:p w14:paraId="6F8A90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missing/ambiguous/unsupported/ordering invalid 返回预期 reason，不生成伪结论</w:t>
            </w:r>
          </w:p>
        </w:tc>
        <w:tc>
          <w:tcPr>
            <w:tcW w:w="2143" w:type="dxa"/>
            <w:vAlign w:val="center"/>
          </w:tcPr>
          <w:p w14:paraId="213D25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故障注入微基准</w:t>
            </w:r>
          </w:p>
        </w:tc>
        <w:tc>
          <w:tcPr>
            <w:tcW w:w="3216" w:type="dxa"/>
            <w:vAlign w:val="center"/>
          </w:tcPr>
          <w:p w14:paraId="081565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明确方法不回答的条件</w:t>
            </w:r>
          </w:p>
        </w:tc>
      </w:tr>
      <w:tr w14:paraId="6182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3E18E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真实 trace 鲁棒性</w:t>
            </w:r>
          </w:p>
        </w:tc>
        <w:tc>
          <w:tcPr>
            <w:tcW w:w="3216" w:type="dxa"/>
            <w:vAlign w:val="center"/>
          </w:tcPr>
          <w:p w14:paraId="613A79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dropped、NVTX、bleed、supported count/duration、B_valid、unattributed 全量报告</w:t>
            </w:r>
          </w:p>
        </w:tc>
        <w:tc>
          <w:tcPr>
            <w:tcW w:w="2143" w:type="dxa"/>
            <w:vAlign w:val="center"/>
          </w:tcPr>
          <w:p w14:paraId="201FCF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代表 LLM sentinel 与 N1 压力测试</w:t>
            </w:r>
          </w:p>
        </w:tc>
        <w:tc>
          <w:tcPr>
            <w:tcW w:w="3216" w:type="dxa"/>
            <w:vAlign w:val="center"/>
          </w:tcPr>
          <w:p w14:paraId="016EB2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限定正式结论的代表范围</w:t>
            </w:r>
          </w:p>
        </w:tc>
      </w:tr>
      <w:tr w14:paraId="69923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6" w:type="dxa"/>
            <w:vAlign w:val="center"/>
          </w:tcPr>
          <w:p w14:paraId="0F4146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方法必要性</w:t>
            </w:r>
          </w:p>
        </w:tc>
        <w:tc>
          <w:tcPr>
            <w:tcW w:w="3216" w:type="dxa"/>
            <w:vAlign w:val="center"/>
          </w:tcPr>
          <w:p>
            <w:r>
              <w:rPr/>
              <w:t>N1/G1 给出传统指标与 exposure 的稳定非冗余差异，或明确、可复现的等价边界；B 解释对应机制</w:t>
            </w:r>
          </w:p>
        </w:tc>
        <w:tc>
          <w:tcPr>
            <w:tcW w:w="2143" w:type="dxa"/>
            <w:vAlign w:val="center"/>
          </w:tcPr>
          <w:p w14:paraId="048EA2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N1 同步干预与 baseline 对照</w:t>
            </w:r>
          </w:p>
        </w:tc>
        <w:tc>
          <w:tcPr>
            <w:tcW w:w="3216" w:type="dxa"/>
            <w:vAlign w:val="center"/>
          </w:tcPr>
          <w:p w14:paraId="7650BD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普通事件统计不能替代 ExposedPath</w:t>
            </w:r>
          </w:p>
        </w:tc>
      </w:tr>
    </w:tbl>
    <w:p w14:paraId="282BF4BA">
      <w:pPr>
        <w:pStyle w:val="16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程序字段、null/validity 规则、输出 schema 与 legacy migration 由《ExposedPath 实验协议》及 Measurement Contract 维护；本文件保留研究语义和 claim—evidence 边界。</w:t>
      </w:r>
    </w:p>
    <w:p w14:paraId="39A472B0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附录 C　参考工作与技术依据</w:t>
      </w:r>
    </w:p>
    <w:p w14:paraId="64520FD9">
      <w:pPr>
        <w:ind w:left="312"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  <w:sz w:val="18"/>
        </w:rPr>
        <w:t>[R1] Kwon et al. Efficient Memory Management for Large Language Model Serving with PagedAttention. SOSP 2023.</w:t>
      </w:r>
    </w:p>
    <w:p w14:paraId="60B076D2">
      <w:pPr>
        <w:ind w:left="312"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  <w:sz w:val="18"/>
        </w:rPr>
        <w:t>[R2] Li et al. XSP: Across-Stack Profiling and Analysis of Machine Learning Models on GPUs. 2019.</w:t>
      </w:r>
    </w:p>
    <w:p w14:paraId="7FB63BE5">
      <w:pPr>
        <w:ind w:left="312"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  <w:sz w:val="18"/>
        </w:rPr>
        <w:t>[R3] Gleeson et al. RL-Scope: Cross-Stack Profiling for Deep Reinforcement Learning Workloads. 2021.</w:t>
      </w:r>
    </w:p>
    <w:p w14:paraId="41802E68">
      <w:pPr>
        <w:ind w:left="312"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  <w:sz w:val="18"/>
        </w:rPr>
        <w:t>[R4] Curtsinger and Berger. Coz: Finding Code that Counts with Causal Profiling. SOSP 2015.</w:t>
      </w:r>
    </w:p>
    <w:p w14:paraId="5E8E0748">
      <w:pPr>
        <w:ind w:left="312"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  <w:sz w:val="18"/>
        </w:rPr>
        <w:t>[R5] Zhu et al. Daydream: Accurately Estimating the Efficacy of Optimizations for DNN Training. USENIX ATC 2020.</w:t>
      </w:r>
    </w:p>
    <w:p w14:paraId="601DC8C3">
      <w:pPr>
        <w:ind w:left="312"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  <w:sz w:val="18"/>
        </w:rPr>
        <w:t>[R6] Vellaisamy et al. Characterizing and Optimizing LLM Inference Workloads on CPU-GPU Coupled Architectures. 2025.</w:t>
      </w:r>
    </w:p>
    <w:p w14:paraId="21277E87">
      <w:pPr>
        <w:ind w:left="312"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  <w:sz w:val="18"/>
        </w:rPr>
        <w:t>[R7] Wang et al. lm-Meter: Unveiling Runtime Inference Latency for On-Device Language Models. 2025.</w:t>
      </w:r>
    </w:p>
    <w:p w14:paraId="7BC10A97">
      <w:pPr>
        <w:ind w:left="312"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  <w:sz w:val="18"/>
        </w:rPr>
        <w:t>[R8] Vellaisamy et al. TaxBreak: Unmasking the Hidden Costs of LLM Inference Through Overhead Decomposition. 2026.</w:t>
      </w:r>
    </w:p>
    <w:p w14:paraId="15A2A4F9">
      <w:pPr>
        <w:ind w:left="312"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  <w:sz w:val="18"/>
        </w:rPr>
        <w:t>[R9] NVIDIA CUDA C++ Programming Guide and CUDA Runtime API: streams, synchronization and asynchronous execution.</w:t>
      </w:r>
    </w:p>
    <w:p w14:paraId="5B07A7F3">
      <w:pPr>
        <w:ind w:left="312"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  <w:sz w:val="18"/>
        </w:rPr>
        <w:t>[R10] NVIDIA Nsight Systems User Guide, SQLite Export Schema and CUPTI Activity API.</w:t>
      </w:r>
    </w:p>
    <w:p w14:paraId="20916C33">
      <w:pPr>
        <w:ind w:left="312"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  <w:sz w:val="18"/>
        </w:rPr>
        <w:t>[D1] ExposedPath exposedpath-v2 RTX 4090 pilot matrix, 16 workloads.</w:t>
      </w:r>
    </w:p>
    <w:p w14:paraId="3BCEAFCC">
      <w:pPr>
        <w:ind w:left="312"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  <w:sz w:val="18"/>
        </w:rPr>
        <w:t>[D2] ExposedPath exposedpath-v2 RTX 6000 Ada pilot matrix, 16 workloads.</w:t>
      </w:r>
    </w:p>
    <w:p w14:paraId="7B866842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补充技术依据：PyTorch 官方将 eager 描述为算子在遇到时即时执行的命令式模式；torch.compile 用于捕获并编译执行图，其 reduce-overhead 路径可使用 CUDA Graph 降低 Python/launch overhead。</w:t>
      </w:r>
    </w:p>
    <w:p w14:paraId="320C425E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补充技术依据：vLLM 官方同时提供在线服务与离线推理，但其核心能力包括 PagedAttention、continuous batching、prefix/chunked prefill、请求调度和 CUDA/HIP Graph。因此，在单 invocation、无并发协议中，应把 vLLM 视为可选完整栈端点，而不是默认基线。</w:t>
      </w:r>
    </w:p>
    <w:p w14:paraId="365D3D8A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正式论文引用时应记录所用 PyTorch、Transformers、CUDA、Nsight 与可选 vLLM 的精确版本和访问日期；软件行为以正式实验冻结版本为准。</w:t>
      </w:r>
    </w:p>
    <w:p w14:paraId="2842212F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附录 C.1　新增文献的用途映射</w:t>
      </w:r>
    </w:p>
    <w:p w14:paraId="54DA8190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[R11] LLMCompass: Enabling Efficient Hardware Design for Large Language Model Inference.</w:t>
      </w:r>
    </w:p>
    <w:p w14:paraId="0871EFA7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[R12] AMALI: An Analytical Model for Accurately Modeling LLM Inference on Modern GPUs.</w:t>
      </w:r>
    </w:p>
    <w:p w14:paraId="55E40292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[R13] A Systematic Characterization of LLM Inference on GPUs.</w:t>
      </w:r>
    </w:p>
    <w:p w14:paraId="4DBCD232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[R14] Mind the Memory Gap: Unveiling GPU Bottlenecks in Large-Batch LLM Inference.</w:t>
      </w:r>
    </w:p>
    <w:p w14:paraId="1AB6B435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[R15] Characterizing and Optimizing LLM Inference Workloads on CPU-GPU Coupled Architectures（TKLQT）.</w:t>
      </w:r>
    </w:p>
    <w:p w14:paraId="2C0690DA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[R16] POD-Attention: Unlocking Full Prefill-Decode Overlap for Faster LLM Inference.</w:t>
      </w:r>
    </w:p>
    <w:p w14:paraId="0B424A9F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[R17] APEX: Asynchronous Parallel CPU-GPU Execution for Online LLM Inference.</w:t>
      </w:r>
    </w:p>
    <w:p w14:paraId="208DD07E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[R18] CPU-GPU Workload Distribution during Throughput-Oriented LLM Inference on a Single GPU.</w:t>
      </w:r>
    </w:p>
    <w:p w14:paraId="765F8011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[R19] SPIN: Accelerating Large Language Model Inference with Heterogeneous Speculative Models.</w:t>
      </w:r>
    </w:p>
    <w:p w14:paraId="66E884BB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[R20] C2F、TensAllo、SCX 与 Evolution of Aegis：分别用于端云/异构部署、隐私边界与可审计诊断设计的讨论，不作为当前核心 baseline。</w:t>
      </w:r>
    </w:p>
    <w:tbl>
      <w:tblPr>
        <w:tblStyle w:val="34"/>
        <w:tblW w:w="8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3026"/>
        <w:gridCol w:w="1459"/>
        <w:gridCol w:w="1942"/>
      </w:tblGrid>
      <w:tr w14:paraId="1E93E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24" w:type="dxa"/>
            <w:vAlign w:val="center"/>
          </w:tcPr>
          <w:p w14:paraId="427AA1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代表工作</w:t>
            </w:r>
          </w:p>
        </w:tc>
        <w:tc>
          <w:tcPr>
            <w:tcW w:w="0" w:type="auto"/>
            <w:vAlign w:val="center"/>
          </w:tcPr>
          <w:p w14:paraId="03ECBC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本文用途</w:t>
            </w:r>
          </w:p>
        </w:tc>
        <w:tc>
          <w:tcPr>
            <w:tcW w:w="0" w:type="auto"/>
            <w:vAlign w:val="center"/>
          </w:tcPr>
          <w:p w14:paraId="45F2D3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对应位置</w:t>
            </w:r>
          </w:p>
        </w:tc>
        <w:tc>
          <w:tcPr>
            <w:tcW w:w="1942" w:type="dxa"/>
            <w:vAlign w:val="center"/>
          </w:tcPr>
          <w:p w14:paraId="0A846F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当前是否复现实验</w:t>
            </w:r>
          </w:p>
        </w:tc>
      </w:tr>
      <w:tr w14:paraId="5575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4" w:type="dxa"/>
            <w:vAlign w:val="center"/>
          </w:tcPr>
          <w:p w14:paraId="6C3180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LLMCompass / AMALI / GPU characterization</w:t>
            </w:r>
          </w:p>
        </w:tc>
        <w:tc>
          <w:tcPr>
            <w:tcW w:w="0" w:type="auto"/>
            <w:vAlign w:val="center"/>
          </w:tcPr>
          <w:p w14:paraId="236F8C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界定设备执行建模与请求墙钟暴露的区别；提供代表点机制指标</w:t>
            </w:r>
          </w:p>
        </w:tc>
        <w:tc>
          <w:tcPr>
            <w:tcW w:w="0" w:type="auto"/>
            <w:vAlign w:val="center"/>
          </w:tcPr>
          <w:p w14:paraId="1C0FAC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1.1、1.2、2.4.0、G1 audit</w:t>
            </w:r>
          </w:p>
        </w:tc>
        <w:tc>
          <w:tcPr>
            <w:tcW w:w="1942" w:type="dxa"/>
            <w:vAlign w:val="center"/>
          </w:tcPr>
          <w:p w14:paraId="59EC97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否；只做少量辅助指标</w:t>
            </w:r>
          </w:p>
        </w:tc>
      </w:tr>
      <w:tr w14:paraId="4AF48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4" w:type="dxa"/>
            <w:vAlign w:val="center"/>
          </w:tcPr>
          <w:p w14:paraId="1D635E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SKIP/TKLQT / TaxBreak</w:t>
            </w:r>
          </w:p>
        </w:tc>
        <w:tc>
          <w:tcPr>
            <w:tcW w:w="0" w:type="auto"/>
            <w:vAlign w:val="center"/>
          </w:tcPr>
          <w:p w14:paraId="020E66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核心近邻与传统指标 baseline</w:t>
            </w:r>
          </w:p>
        </w:tc>
        <w:tc>
          <w:tcPr>
            <w:tcW w:w="0" w:type="auto"/>
            <w:vAlign w:val="center"/>
          </w:tcPr>
          <w:p w14:paraId="20F57E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1.2、Q0、G2</w:t>
            </w:r>
          </w:p>
        </w:tc>
        <w:tc>
          <w:tcPr>
            <w:tcW w:w="1942" w:type="dxa"/>
            <w:vAlign w:val="center"/>
          </w:tcPr>
          <w:p w14:paraId="011FCA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部分：复现可公平计算的指标</w:t>
            </w:r>
          </w:p>
        </w:tc>
      </w:tr>
      <w:tr w14:paraId="3FC49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4" w:type="dxa"/>
            <w:vAlign w:val="center"/>
          </w:tcPr>
          <w:p w14:paraId="5488B8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POD-Attention / APEX / SPIN / offloading</w:t>
            </w:r>
          </w:p>
        </w:tc>
        <w:tc>
          <w:tcPr>
            <w:tcW w:w="0" w:type="auto"/>
            <w:vAlign w:val="center"/>
          </w:tcPr>
          <w:p w14:paraId="125945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丰富优化响应机制分类与未来适用性</w:t>
            </w:r>
          </w:p>
        </w:tc>
        <w:tc>
          <w:tcPr>
            <w:tcW w:w="0" w:type="auto"/>
            <w:vAlign w:val="center"/>
          </w:tcPr>
          <w:p w14:paraId="66340F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G2、讨论与扩展</w:t>
            </w:r>
          </w:p>
        </w:tc>
        <w:tc>
          <w:tcPr>
            <w:tcW w:w="1942" w:type="dxa"/>
            <w:vAlign w:val="center"/>
          </w:tcPr>
          <w:p w14:paraId="686866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否</w:t>
            </w:r>
          </w:p>
        </w:tc>
      </w:tr>
      <w:tr w14:paraId="63223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4" w:type="dxa"/>
            <w:vAlign w:val="center"/>
          </w:tcPr>
          <w:p w14:paraId="46C08D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C2F / TensAllo / SCX / Aegis</w:t>
            </w:r>
          </w:p>
        </w:tc>
        <w:tc>
          <w:tcPr>
            <w:tcW w:w="3026" w:type="dxa"/>
            <w:vAlign w:val="center"/>
          </w:tcPr>
          <w:p w14:paraId="2C4EF0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应用意义、边界、coverage、fail-closed 与证据链设计</w:t>
            </w:r>
          </w:p>
        </w:tc>
        <w:tc>
          <w:tcPr>
            <w:tcW w:w="1459" w:type="dxa"/>
            <w:vAlign w:val="center"/>
          </w:tcPr>
          <w:p w14:paraId="63C63A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背景、风险、扩展</w:t>
            </w:r>
          </w:p>
        </w:tc>
        <w:tc>
          <w:tcPr>
            <w:tcW w:w="1942" w:type="dxa"/>
            <w:vAlign w:val="center"/>
          </w:tcPr>
          <w:p w14:paraId="1E443E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否</w:t>
            </w:r>
          </w:p>
        </w:tc>
      </w:tr>
    </w:tbl>
    <w:p w14:paraId="4477691E">
      <w:pPr>
        <w:pStyle w:val="3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附录 D　历史 Prototype 结果与方向性线索（不得作为当前方法证据）</w:t>
      </w:r>
    </w:p>
    <w:p w14:paraId="1904B878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本附录只保存冻结前历史 prototype 的双 GPU 输出，用于追溯旧实现和生成回归问题。由于 analyzer、W(s)、terminal、validity、manifest、repeat 和运行合同不符合或无法证明符合 v1.4.1，这些数据不得作为 Q0、Pilot 或 Formal 证据，也不得支持当前方法正确性。</w:t>
      </w:r>
    </w:p>
    <w:p w14:paraId="027620A6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D.1 数据定位</w:t>
      </w:r>
    </w:p>
    <w:p w14:paraId="56F44B3C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历史数据来自同一服务器的 RTX 4090 与 RTX 6000 Ada，各 16 个 Qwen2.5-1.5B workload，prompt={128,256,512,1024}、batch={1,2,4,8}、output=16、每组 5 repeats。它们仅用于 Prototype/Engineering 回归和识别旧实现问题。</w:t>
      </w:r>
    </w:p>
    <w:p w14:paraId="39D57051">
      <w:pPr>
        <w:pStyle w:val="168"/>
        <w:shd w:val="clear" w:fill="FFF3D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000000"/>
        </w:rPr>
        <w:t>这些历史输出不能支持正式显著性、平台排名、activity→exposure 规律、当前 A/B 正确性或跨主机因果结论。</w:t>
      </w:r>
    </w:p>
    <w:p w14:paraId="26D3BC26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D.2 方法正确性结果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2895"/>
        <w:gridCol w:w="3164"/>
      </w:tblGrid>
      <w:tr w14:paraId="22176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历史质量项</w:t>
            </w:r>
          </w:p>
        </w:tc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历史记录</w:t>
            </w:r>
          </w:p>
        </w:tc>
        <w:tc>
          <w:tcPr>
            <w:tcW w:w="3230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v1.4.1 下的资格判断</w:t>
            </w:r>
          </w:p>
        </w:tc>
      </w:tr>
      <w:tr w14:paraId="59EFF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Raw/S/A/B version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exposedpath-v2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旧 prototype 身份；不等价于当前方法</w:t>
            </w:r>
          </w:p>
        </w:tc>
      </w:tr>
      <w:tr w14:paraId="21141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A conservation</w:t>
            </w:r>
          </w:p>
        </w:tc>
        <w:tc>
          <w:tcPr>
            <w:tcW w:w="306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历史输出曾闭合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只说明旧分区实现，不能证明 W(s)/terminal 正确</w:t>
            </w:r>
          </w:p>
        </w:tc>
      </w:tr>
      <w:tr w14:paraId="42960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GPU/API correlation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历史报告为 100%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缺 source manifest，不能证明当前 ownership</w:t>
            </w:r>
          </w:p>
        </w:tc>
      </w:tr>
      <w:tr w14:paraId="3FCB8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physical sync UID</w:t>
            </w:r>
          </w:p>
        </w:tc>
        <w:tc>
          <w:tcPr>
            <w:tcW w:w="306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历史输出无重复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只能用于 Engineering 回归</w:t>
            </w:r>
          </w:p>
        </w:tc>
      </w:tr>
      <w:tr w14:paraId="1DFBB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Raw/B interval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历史输出无一致性错误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旧 B 定义已变化，必须重新分析</w:t>
            </w:r>
          </w:p>
        </w:tc>
      </w:tr>
      <w:tr w14:paraId="3F2C6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局部异常</w:t>
            </w:r>
          </w:p>
        </w:tc>
        <w:tc>
          <w:tcPr>
            <w:tcW w:w="306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4090 p128/b1 曾出现 TRACE_ORDERING_ERROR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rPr/>
              <w:t>保留为 Q0/回归负例线索</w:t>
            </w:r>
          </w:p>
        </w:tc>
      </w:tr>
    </w:tbl>
    <w:p w14:paraId="40E763D7">
      <w:pPr>
        <w:spacing w:after="20"/>
        <w:rPr>
          <w:rFonts w:ascii="Times New Roman" w:hAnsi="Times New Roman" w:eastAsia="宋体"/>
        </w:rPr>
      </w:pPr>
    </w:p>
    <w:p w14:paraId="0274E265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D.3 Prefill 主趋势</w:t>
      </w:r>
    </w:p>
    <w:p w14:paraId="0564E73E">
      <w:pPr>
        <w:ind w:firstLine="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drawing>
          <wp:inline distT="0" distB="0" distL="114300" distR="114300">
            <wp:extent cx="5615940" cy="268859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8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C1E3">
      <w:pPr>
        <w:pStyle w:val="15"/>
        <w:ind w:firstLine="0"/>
        <w:rPr>
          <w:rFonts w:ascii="Times New Roman" w:hAnsi="Times New Roman" w:eastAsia="宋体"/>
        </w:rPr>
      </w:pPr>
      <w:bookmarkStart w:id="0" w:name="_GoBack"/>
      <w:bookmarkEnd w:id="0"/>
      <w:r>
        <w:rPr>
          <w:rFonts w:ascii="Times New Roman" w:hAnsi="Times New Roman" w:eastAsia="宋体"/>
          <w:color w:val="000000"/>
        </w:rPr>
        <w:t>图 3-1　双 GPU 先导矩阵的 prefill A 组成端点</w:t>
      </w:r>
    </w:p>
    <w:p w14:paraId="2E49F6C1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color w:val="000000"/>
          <w:lang w:eastAsia="zh-CN"/>
        </w:rPr>
        <w:drawing>
          <wp:inline distT="0" distB="0" distL="114300" distR="114300">
            <wp:extent cx="5266055" cy="2861310"/>
            <wp:effectExtent l="0" t="0" r="6985" b="3810"/>
            <wp:docPr id="2" name="图片 2" descr="figure1_ccfa_bottleneck_phase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1_ccfa_bottleneck_phase_diagr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ECAC">
      <w:pPr>
        <w:pStyle w:val="15"/>
        <w:ind w:firstLine="0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  <w:color w:val="000000"/>
        </w:rPr>
        <w:t>图 3-</w:t>
      </w:r>
      <w:r>
        <w:rPr>
          <w:rFonts w:hint="eastAsia" w:ascii="Times New Roman" w:hAnsi="Times New Roman" w:eastAsia="宋体"/>
          <w:color w:val="000000"/>
          <w:lang w:val="en-US" w:eastAsia="zh-CN"/>
        </w:rPr>
        <w:t>2</w:t>
      </w:r>
      <w:r>
        <w:rPr>
          <w:rFonts w:ascii="Times New Roman" w:hAnsi="Times New Roman" w:eastAsia="宋体"/>
          <w:color w:val="000000"/>
        </w:rPr>
        <w:t>　双 GPU</w:t>
      </w:r>
      <w:r>
        <w:rPr>
          <w:rFonts w:hint="eastAsia" w:ascii="Times New Roman" w:hAnsi="Times New Roman" w:eastAsia="宋体"/>
          <w:color w:val="000000"/>
          <w:lang w:val="en-US" w:eastAsia="zh-CN"/>
        </w:rPr>
        <w:t xml:space="preserve"> 的4*4组实验下的Prefill阶段的D指标热力变化图</w:t>
      </w:r>
    </w:p>
    <w:p w14:paraId="47EFBEF7">
      <w:pPr>
        <w:rPr>
          <w:rFonts w:hint="eastAsia" w:ascii="Times New Roman" w:hAnsi="Times New Roman" w:eastAsia="宋体"/>
          <w:lang w:eastAsia="zh-CN"/>
        </w:rPr>
      </w:pPr>
    </w:p>
    <w:p w14:paraId="0EE63DA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历史 Prefill 图显示过候选方向，但旧 analyzer 与运行合同尚未满足 v1.4.1，因此该趋势只能生成待检验假设，不能预先冻结为 G1 结论。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2"/>
        <w:gridCol w:w="1621"/>
        <w:gridCol w:w="1600"/>
        <w:gridCol w:w="1735"/>
        <w:gridCol w:w="1788"/>
      </w:tblGrid>
      <w:tr w14:paraId="265D5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38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870DD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端点</w:t>
            </w:r>
          </w:p>
        </w:tc>
        <w:tc>
          <w:tcPr>
            <w:tcW w:w="1938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5382C8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A_host_path</w:t>
            </w:r>
          </w:p>
        </w:tc>
        <w:tc>
          <w:tcPr>
            <w:tcW w:w="1938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0D3477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A_cuda_api</w:t>
            </w:r>
          </w:p>
        </w:tc>
        <w:tc>
          <w:tcPr>
            <w:tcW w:w="1938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CFAF5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A_device_wait</w:t>
            </w:r>
          </w:p>
        </w:tc>
        <w:tc>
          <w:tcPr>
            <w:tcW w:w="1938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D10B1">
            <w:pPr>
              <w:ind w:firstLine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9375A"/>
                <w:sz w:val="17"/>
              </w:rPr>
              <w:t>A_sync_residual</w:t>
            </w:r>
          </w:p>
        </w:tc>
      </w:tr>
      <w:tr w14:paraId="138BC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6BA039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4090 p128/b1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BF493A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20.76%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847F2B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46.72%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925611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14.75%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8163DD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17.77%</w:t>
            </w:r>
          </w:p>
        </w:tc>
      </w:tr>
      <w:tr w14:paraId="2A68C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3007D5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4090 p1024/b8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8065DF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8.51%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CE4DD8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16.01%</w:t>
            </w:r>
          </w:p>
        </w:tc>
        <w:tc>
          <w:tcPr>
            <w:tcW w:w="204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CB0062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63.24%</w:t>
            </w:r>
          </w:p>
        </w:tc>
        <w:tc>
          <w:tcPr>
            <w:tcW w:w="204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6667A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12.24%</w:t>
            </w:r>
          </w:p>
        </w:tc>
      </w:tr>
      <w:tr w14:paraId="46561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9F64BC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6000 p128/b1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0D80D3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20.64%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9D64A9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29.93%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FCE4F6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24.80%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518E5F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24.63%</w:t>
            </w:r>
          </w:p>
        </w:tc>
      </w:tr>
      <w:tr w14:paraId="1F808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C7D692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6000 p1024/b8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6273C6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6.71%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736F1E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7.78%</w:t>
            </w:r>
          </w:p>
        </w:tc>
        <w:tc>
          <w:tcPr>
            <w:tcW w:w="204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6F62D0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69.29%</w:t>
            </w:r>
          </w:p>
        </w:tc>
        <w:tc>
          <w:tcPr>
            <w:tcW w:w="204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5896E">
            <w:pPr>
              <w:spacing w:after="0"/>
              <w:ind w:firstLine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16.23%</w:t>
            </w:r>
          </w:p>
        </w:tc>
      </w:tr>
    </w:tbl>
    <w:p w14:paraId="01BD103E">
      <w:pPr>
        <w:spacing w:after="20"/>
        <w:rPr>
          <w:rFonts w:ascii="Times New Roman" w:hAnsi="Times New Roman" w:eastAsia="宋体"/>
        </w:rPr>
      </w:pPr>
    </w:p>
    <w:p w14:paraId="579E6304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D.4 Decode 主趋势</w:t>
      </w:r>
    </w:p>
    <w:p w14:paraId="7B0EAFA1">
      <w:pPr>
        <w:ind w:firstLine="0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color w:val="000000"/>
        </w:rPr>
        <w:drawing>
          <wp:inline distT="0" distB="0" distL="114300" distR="114300">
            <wp:extent cx="5615940" cy="268859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8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3DD1">
      <w:pPr>
        <w:pStyle w:val="15"/>
        <w:ind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图 3-</w:t>
      </w:r>
      <w:r>
        <w:rPr>
          <w:rFonts w:hint="eastAsia" w:ascii="Times New Roman" w:hAnsi="Times New Roman" w:eastAsia="宋体"/>
          <w:color w:val="000000"/>
          <w:lang w:val="en-US" w:eastAsia="zh-CN"/>
        </w:rPr>
        <w:t>3</w:t>
      </w:r>
      <w:r>
        <w:rPr>
          <w:rFonts w:ascii="Times New Roman" w:hAnsi="Times New Roman" w:eastAsia="宋体"/>
          <w:color w:val="000000"/>
        </w:rPr>
        <w:t>　双 GPU 先导矩阵的 decode A 组成端点</w:t>
      </w:r>
    </w:p>
    <w:p w14:paraId="7B87B2FA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历史 Decode 图曾显示平台条件差异，但其身份、同步语义和数据资格不足；正式 G1 必须在冻结协议下重新采集，并允许比例、非比例、条件性或 null 结果。</w:t>
      </w:r>
    </w:p>
    <w:p w14:paraId="2A5280D0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D.5 B 的新分析视角</w:t>
      </w:r>
    </w:p>
    <w:p w14:paraId="1B961C9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旧版 predecessor/gap 与 B 字段不得直接迁移为当前结论。历史 trace 只能用于检查新版 parser/S 的回归行为；只有 Measurement Contract 冻结且 validity 成立的记录，才能报告 terminal hidden/exposed provenance。</w:t>
      </w:r>
    </w:p>
    <w:p w14:paraId="45147AA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任何历史 gap 或 terminal 现象都只能作为诊断线索，不能命名 CPU scheduling、driver overhead、GPU queue 或其他根因；若需根因结论，必须增加独立证据。</w:t>
      </w:r>
    </w:p>
    <w:p w14:paraId="5EFCD995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D.6 当前可以支持的结论</w:t>
      </w:r>
    </w:p>
    <w:p w14:paraId="495399AA">
      <w:pPr>
        <w:pStyle w:val="16"/>
        <w:ind w:firstLine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0000"/>
        </w:rPr>
        <w:t>历史 prototype 能生成旧版阶段墙钟和 per-sync 输出，但这不能证明其 W(s)、terminal 或 validity 符合 v1.4.1。</w:t>
      </w:r>
    </w:p>
    <w:p w14:paraId="4ED7F223">
      <w:pPr>
        <w:pStyle w:val="16"/>
        <w:ind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历史 Prefill 变化只保留为待 Formal G1 检验的候选假设，不能作为信息增量证据。</w:t>
      </w:r>
    </w:p>
    <w:p w14:paraId="4B863022">
      <w:pPr>
        <w:pStyle w:val="16"/>
        <w:ind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历史 Decode 平台差异只保留为候选线索，不能写成当前研究发现。</w:t>
      </w:r>
    </w:p>
    <w:p w14:paraId="37853631">
      <w:pPr>
        <w:pStyle w:val="16"/>
        <w:ind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历史 trace 可用于回归和选择 Q0 负例，但不能提升为 Pilot/Formal，也不能证明传统指标不足。</w:t>
      </w:r>
    </w:p>
    <w:p w14:paraId="56E8B264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D.7 当前不能支持的结论</w:t>
      </w:r>
    </w:p>
    <w:p w14:paraId="0E868CA9">
      <w:pPr>
        <w:pStyle w:val="16"/>
        <w:ind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不能把当前 5-repeat 先导数据当作最终论文显著性结果。</w:t>
      </w:r>
    </w:p>
    <w:p w14:paraId="5BCF87B4">
      <w:pPr>
        <w:pStyle w:val="16"/>
        <w:ind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不能把 6000 Ada 与 4090 的差异简单归因于 GPU 算力。</w:t>
      </w:r>
    </w:p>
    <w:p w14:paraId="6032606B">
      <w:pPr>
        <w:pStyle w:val="16"/>
        <w:ind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不能把 terminal_post_api_uncovered_gap_ms 直接称为 CPU scheduling、driver overhead 或纯 GPU queue。</w:t>
      </w:r>
    </w:p>
    <w:p w14:paraId="23735E2C">
      <w:pPr>
        <w:pStyle w:val="16"/>
        <w:ind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不能声称规律已经跨模型、推理引擎和端侧平台普适。</w:t>
      </w:r>
    </w:p>
    <w:p w14:paraId="1A7BA1EF">
      <w:pPr>
        <w:pStyle w:val="16"/>
        <w:ind w:firstLine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不能把 terminal_exec_total 解释为同步阻塞时间。</w:t>
      </w:r>
    </w:p>
    <w:p w14:paraId="2A4B5993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D.8 当前处置</w:t>
      </w:r>
    </w:p>
    <w:p w14:paraId="140306B2">
      <w:pPr>
        <w:pStyle w:val="167"/>
        <w:shd w:val="clear" w:fill="E6F3EB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color w:val="000000"/>
        </w:rPr>
        <w:t>历史产物已封存为 Prototype/Engineering 证据。当前唯一最高优先级是完成 Measurement Contract v0.2，随后依次构造 Q0 oracle、Canonical Raw、S 与 A/B；在 Q0 通过、平台资格和 Pilot 完成前，不采集或解释正式 N1/G1/G2。</w:t>
      </w:r>
    </w:p>
    <w:p w14:paraId="0A95119A">
      <w:pPr>
        <w:ind w:left="0" w:leftChars="0" w:firstLine="0" w:firstLineChars="0"/>
        <w:rPr>
          <w:rFonts w:ascii="Times New Roman" w:hAnsi="Times New Roman" w:eastAsia="宋体"/>
        </w:rPr>
      </w:pPr>
    </w:p>
    <w:sectPr>
      <w:pgSz w:w="11906" w:h="16838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8" w:lineRule="auto"/>
      </w:pPr>
      <w:r>
        <w:separator/>
      </w:r>
    </w:p>
  </w:footnote>
  <w:footnote w:type="continuationSeparator" w:id="1">
    <w:p>
      <w:pPr>
        <w:spacing w:before="0" w:after="0" w:line="29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3387"/>
    <w:rsid w:val="0015074B"/>
    <w:rsid w:val="0029639D"/>
    <w:rsid w:val="00326F90"/>
    <w:rsid w:val="007B6480"/>
    <w:rsid w:val="00AA1D8D"/>
    <w:rsid w:val="00B47730"/>
    <w:rsid w:val="00CB0664"/>
    <w:rsid w:val="00FC693F"/>
    <w:rsid w:val="019404F8"/>
    <w:rsid w:val="01CE1437"/>
    <w:rsid w:val="02331ABF"/>
    <w:rsid w:val="02685C0C"/>
    <w:rsid w:val="067803E8"/>
    <w:rsid w:val="08EE409D"/>
    <w:rsid w:val="091D7025"/>
    <w:rsid w:val="0A4C5E14"/>
    <w:rsid w:val="0ACC2AB1"/>
    <w:rsid w:val="0B5C270C"/>
    <w:rsid w:val="0D183D8B"/>
    <w:rsid w:val="0D6B65B1"/>
    <w:rsid w:val="0E0E4C97"/>
    <w:rsid w:val="0E835B7C"/>
    <w:rsid w:val="0EDD528C"/>
    <w:rsid w:val="0F2C7FC2"/>
    <w:rsid w:val="0FBA737B"/>
    <w:rsid w:val="11423ACC"/>
    <w:rsid w:val="11477335"/>
    <w:rsid w:val="116C0567"/>
    <w:rsid w:val="117F087D"/>
    <w:rsid w:val="11BF3EC9"/>
    <w:rsid w:val="14215629"/>
    <w:rsid w:val="14F30D60"/>
    <w:rsid w:val="17C3523B"/>
    <w:rsid w:val="18DE1CFD"/>
    <w:rsid w:val="18E93EBE"/>
    <w:rsid w:val="1AD339E7"/>
    <w:rsid w:val="1ADB5329"/>
    <w:rsid w:val="1C2344FA"/>
    <w:rsid w:val="1C4701E9"/>
    <w:rsid w:val="1D434E54"/>
    <w:rsid w:val="1EB51D82"/>
    <w:rsid w:val="1F3B76DF"/>
    <w:rsid w:val="1F947BE9"/>
    <w:rsid w:val="1FC658C9"/>
    <w:rsid w:val="20322F5E"/>
    <w:rsid w:val="20DF4E94"/>
    <w:rsid w:val="21AD6D40"/>
    <w:rsid w:val="231223A3"/>
    <w:rsid w:val="2351194D"/>
    <w:rsid w:val="24457704"/>
    <w:rsid w:val="24635DDC"/>
    <w:rsid w:val="24855D52"/>
    <w:rsid w:val="26487037"/>
    <w:rsid w:val="26B20955"/>
    <w:rsid w:val="2A500BB0"/>
    <w:rsid w:val="2AB651FD"/>
    <w:rsid w:val="2AD43590"/>
    <w:rsid w:val="2B870602"/>
    <w:rsid w:val="2BE9496F"/>
    <w:rsid w:val="2C057779"/>
    <w:rsid w:val="2C444745"/>
    <w:rsid w:val="2F452CAE"/>
    <w:rsid w:val="30360848"/>
    <w:rsid w:val="3095731D"/>
    <w:rsid w:val="31302930"/>
    <w:rsid w:val="31D67BED"/>
    <w:rsid w:val="33EF15F3"/>
    <w:rsid w:val="345E3ECA"/>
    <w:rsid w:val="347D25A2"/>
    <w:rsid w:val="35FC217F"/>
    <w:rsid w:val="36E0150E"/>
    <w:rsid w:val="374455F9"/>
    <w:rsid w:val="38281CF3"/>
    <w:rsid w:val="38591578"/>
    <w:rsid w:val="388F6D48"/>
    <w:rsid w:val="396673B2"/>
    <w:rsid w:val="39AE31FE"/>
    <w:rsid w:val="39D569DC"/>
    <w:rsid w:val="3B5D4EDB"/>
    <w:rsid w:val="3B8D4555"/>
    <w:rsid w:val="3BF3486D"/>
    <w:rsid w:val="3DBF1E7D"/>
    <w:rsid w:val="3DC456E6"/>
    <w:rsid w:val="3DCB25D0"/>
    <w:rsid w:val="3E0934EC"/>
    <w:rsid w:val="3E0D342E"/>
    <w:rsid w:val="3F980BD8"/>
    <w:rsid w:val="40295CD4"/>
    <w:rsid w:val="407A208B"/>
    <w:rsid w:val="408B6047"/>
    <w:rsid w:val="41B65345"/>
    <w:rsid w:val="42072045"/>
    <w:rsid w:val="43784FA8"/>
    <w:rsid w:val="44915BF6"/>
    <w:rsid w:val="44FF0DB1"/>
    <w:rsid w:val="47E04ECA"/>
    <w:rsid w:val="47F210A1"/>
    <w:rsid w:val="47FE5A06"/>
    <w:rsid w:val="48E40C1B"/>
    <w:rsid w:val="49D547D7"/>
    <w:rsid w:val="4A5A03D8"/>
    <w:rsid w:val="4A992198"/>
    <w:rsid w:val="4B0E1D4E"/>
    <w:rsid w:val="4B94341E"/>
    <w:rsid w:val="4C6D0CF6"/>
    <w:rsid w:val="4CCF550D"/>
    <w:rsid w:val="4CDB0356"/>
    <w:rsid w:val="4CEE62DB"/>
    <w:rsid w:val="4D551EB6"/>
    <w:rsid w:val="4D785BA5"/>
    <w:rsid w:val="4E3715BC"/>
    <w:rsid w:val="4EC217CD"/>
    <w:rsid w:val="4F0973FC"/>
    <w:rsid w:val="4FE90FDC"/>
    <w:rsid w:val="50772144"/>
    <w:rsid w:val="50982C04"/>
    <w:rsid w:val="5144471C"/>
    <w:rsid w:val="51491D32"/>
    <w:rsid w:val="5156444F"/>
    <w:rsid w:val="515D758B"/>
    <w:rsid w:val="52AD4542"/>
    <w:rsid w:val="53A61A4E"/>
    <w:rsid w:val="53E55D97"/>
    <w:rsid w:val="555111B5"/>
    <w:rsid w:val="558C48E3"/>
    <w:rsid w:val="56707D61"/>
    <w:rsid w:val="56B458BB"/>
    <w:rsid w:val="56E878F7"/>
    <w:rsid w:val="5753390A"/>
    <w:rsid w:val="589A7317"/>
    <w:rsid w:val="596A6CE9"/>
    <w:rsid w:val="597731B4"/>
    <w:rsid w:val="5A421A14"/>
    <w:rsid w:val="5A81078E"/>
    <w:rsid w:val="5AFC6067"/>
    <w:rsid w:val="5B5B0FE0"/>
    <w:rsid w:val="5C0F1DCA"/>
    <w:rsid w:val="5CA95D7B"/>
    <w:rsid w:val="5CFE264B"/>
    <w:rsid w:val="5D170F36"/>
    <w:rsid w:val="5FDA449D"/>
    <w:rsid w:val="5FE1582B"/>
    <w:rsid w:val="604F32A9"/>
    <w:rsid w:val="60502261"/>
    <w:rsid w:val="605B3830"/>
    <w:rsid w:val="61113EEE"/>
    <w:rsid w:val="61364AAD"/>
    <w:rsid w:val="619743F4"/>
    <w:rsid w:val="624A3B5C"/>
    <w:rsid w:val="62683FE2"/>
    <w:rsid w:val="62A65D9D"/>
    <w:rsid w:val="631F2A00"/>
    <w:rsid w:val="65340DFB"/>
    <w:rsid w:val="65931376"/>
    <w:rsid w:val="65AC2438"/>
    <w:rsid w:val="65CB6D62"/>
    <w:rsid w:val="67582877"/>
    <w:rsid w:val="683E7CBF"/>
    <w:rsid w:val="691E364C"/>
    <w:rsid w:val="69E95A08"/>
    <w:rsid w:val="6A7774B8"/>
    <w:rsid w:val="6AAE34FD"/>
    <w:rsid w:val="6AB4441A"/>
    <w:rsid w:val="6B142F59"/>
    <w:rsid w:val="6B2D7B77"/>
    <w:rsid w:val="6B3E66B1"/>
    <w:rsid w:val="6BF568E6"/>
    <w:rsid w:val="6BFB5EC7"/>
    <w:rsid w:val="6C307C64"/>
    <w:rsid w:val="6C5D448C"/>
    <w:rsid w:val="6D8A5754"/>
    <w:rsid w:val="6E8B52E0"/>
    <w:rsid w:val="6EC66BBC"/>
    <w:rsid w:val="6F4D07E7"/>
    <w:rsid w:val="6F5953DE"/>
    <w:rsid w:val="6F8001BF"/>
    <w:rsid w:val="6FD20CED"/>
    <w:rsid w:val="71D92806"/>
    <w:rsid w:val="724203AC"/>
    <w:rsid w:val="724539F8"/>
    <w:rsid w:val="74B27FC4"/>
    <w:rsid w:val="75023E22"/>
    <w:rsid w:val="7543158E"/>
    <w:rsid w:val="760B4F58"/>
    <w:rsid w:val="7630676D"/>
    <w:rsid w:val="769F401E"/>
    <w:rsid w:val="76EB7264"/>
    <w:rsid w:val="783C3AEF"/>
    <w:rsid w:val="788C05D2"/>
    <w:rsid w:val="79C21DD2"/>
    <w:rsid w:val="79CA2CA8"/>
    <w:rsid w:val="7A1A39BC"/>
    <w:rsid w:val="7AEF195B"/>
    <w:rsid w:val="7BC40083"/>
    <w:rsid w:val="7BDD1145"/>
    <w:rsid w:val="7C4F3DF1"/>
    <w:rsid w:val="7C662EE9"/>
    <w:rsid w:val="7C8B2109"/>
    <w:rsid w:val="7D641B1E"/>
    <w:rsid w:val="7E590F57"/>
    <w:rsid w:val="7FF3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98" w:lineRule="auto"/>
      <w:ind w:firstLine="420"/>
    </w:pPr>
    <w:rPr>
      <w:rFonts w:ascii="Times New Roman" w:hAnsi="Times New Roman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7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jc w:val="center"/>
    </w:pPr>
    <w:rPr>
      <w:rFonts w:ascii="Noto Sans CJK SC" w:hAnsi="Noto Sans CJK SC" w:eastAsia="Noto Sans CJK SC"/>
      <w:b/>
      <w:bCs/>
      <w:i/>
      <w:color w:val="555555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b/>
      <w:i/>
      <w:iCs/>
      <w:color w:val="000000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keepNext/>
      <w:spacing w:before="0"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4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allout"/>
    <w:qFormat/>
    <w:uiPriority w:val="0"/>
    <w:pPr>
      <w:spacing w:before="100" w:after="120" w:line="276" w:lineRule="auto"/>
      <w:ind w:left="255" w:right="198" w:firstLine="0"/>
    </w:pPr>
    <w:rPr>
      <w:rFonts w:ascii="Noto Sans CJK SC" w:hAnsi="Noto Sans CJK SC" w:eastAsia="Noto Sans CJK SC" w:cstheme="minorBidi"/>
      <w:color w:val="19375A"/>
      <w:sz w:val="20"/>
      <w:szCs w:val="22"/>
      <w:lang w:val="en-US" w:eastAsia="en-US" w:bidi="ar-SA"/>
    </w:rPr>
  </w:style>
  <w:style w:type="paragraph" w:customStyle="1" w:styleId="167">
    <w:name w:val="Decision"/>
    <w:qFormat/>
    <w:uiPriority w:val="0"/>
    <w:pPr>
      <w:spacing w:before="100" w:after="120" w:line="276" w:lineRule="auto"/>
      <w:ind w:left="255" w:right="198" w:firstLine="0"/>
    </w:pPr>
    <w:rPr>
      <w:rFonts w:ascii="Noto Sans CJK SC" w:hAnsi="Noto Sans CJK SC" w:eastAsia="Noto Sans CJK SC" w:cstheme="minorBidi"/>
      <w:color w:val="1C5C3E"/>
      <w:sz w:val="20"/>
      <w:szCs w:val="22"/>
      <w:lang w:val="en-US" w:eastAsia="en-US" w:bidi="ar-SA"/>
    </w:rPr>
  </w:style>
  <w:style w:type="paragraph" w:customStyle="1" w:styleId="168">
    <w:name w:val="Warning"/>
    <w:qFormat/>
    <w:uiPriority w:val="0"/>
    <w:pPr>
      <w:spacing w:before="100" w:after="120" w:line="276" w:lineRule="auto"/>
      <w:ind w:left="255" w:right="198" w:firstLine="0"/>
    </w:pPr>
    <w:rPr>
      <w:rFonts w:ascii="Noto Sans CJK SC" w:hAnsi="Noto Sans CJK SC" w:eastAsia="Noto Sans CJK SC" w:cstheme="minorBidi"/>
      <w:color w:val="784B0A"/>
      <w:sz w:val="20"/>
      <w:szCs w:val="22"/>
      <w:lang w:val="en-US" w:eastAsia="en-US" w:bidi="ar-SA"/>
    </w:rPr>
  </w:style>
  <w:style w:type="paragraph" w:customStyle="1" w:styleId="169">
    <w:name w:val="Formula"/>
    <w:qFormat/>
    <w:uiPriority w:val="0"/>
    <w:pPr>
      <w:spacing w:before="100" w:after="120" w:line="276" w:lineRule="auto"/>
      <w:ind w:left="255" w:right="198" w:firstLine="0"/>
    </w:pPr>
    <w:rPr>
      <w:rFonts w:ascii="Noto Sans CJK SC" w:hAnsi="Noto Sans CJK SC" w:eastAsia="Noto Sans CJK SC" w:cstheme="minorBidi"/>
      <w:color w:val="232323"/>
      <w:sz w:val="20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4784</Words>
  <Characters>8499</Characters>
  <Lines>0</Lines>
  <Paragraphs>0</Paragraphs>
  <TotalTime>77</TotalTime>
  <ScaleCrop>false</ScaleCrop>
  <LinksUpToDate>false</LinksUpToDate>
  <CharactersWithSpaces>9253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v1.4.1 的背景、立意、方法和执行路线已逐章归并；实验状态仍为 Engineering/Pre-Pilot。</dc:description>
  <cp:keywords>ExposedPath, LLM inference, CUDA synchronization, latency accounting, measurement, characterization</cp:keywords>
  <cp:lastModifiedBy>叶刘强</cp:lastModifiedBy>
  <dcterms:modified xsi:type="dcterms:W3CDTF">2026-08-11T13:40:14Z</dcterms:modified>
  <dc:subject>当前研究设计主体 v7.1</dc:subject>
  <dc:title>ExposedPath 研究设计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eyJoZGlkIjoiMDY5NmFjMmM4ZTljMGJiZDAxN2JmYTc0NGI0NmFiNDgiLCJ1c2VySWQiOiIxNzY3MDY1NTEwIn0=</vt:lpwstr>
  </property>
  <property fmtid="{D5CDD505-2E9C-101B-9397-08002B2CF9AE}" pid="3" name="KSOProductBuildVer">
    <vt:lpwstr>2052-12.1.0.26895</vt:lpwstr>
  </property>
  <property fmtid="{D5CDD505-2E9C-101B-9397-08002B2CF9AE}" pid="4" name="ICV">
    <vt:lpwstr>A6CD017F8B144B469D642406648DE124_12</vt:lpwstr>
  </property>
</Properties>
</file>