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0E1D" w14:textId="77777777" w:rsidR="003F4C0B" w:rsidRPr="003F4C0B" w:rsidRDefault="003F4C0B" w:rsidP="003F4C0B">
      <w:r w:rsidRPr="003F4C0B">
        <w:t>In cryptocurrency and blockchain trading, </w:t>
      </w:r>
      <w:r w:rsidRPr="003F4C0B">
        <w:rPr>
          <w:b/>
          <w:bCs/>
        </w:rPr>
        <w:t>minting</w:t>
      </w:r>
      <w:r w:rsidRPr="003F4C0B">
        <w:t> is the process of creating new digital assets, such as cryptocurrencies or Non-Fungible Tokens (NFTs), and recording them on the blockchain's permanent, immutable public ledger. This process is analogous to a government mint producing physical coins. </w:t>
      </w:r>
    </w:p>
    <w:p w14:paraId="4B002D79" w14:textId="77777777" w:rsidR="003F4C0B" w:rsidRPr="003F4C0B" w:rsidRDefault="003F4C0B" w:rsidP="003F4C0B">
      <w:pPr>
        <w:rPr>
          <w:b/>
          <w:bCs/>
        </w:rPr>
      </w:pPr>
      <w:r w:rsidRPr="003F4C0B">
        <w:rPr>
          <w:b/>
          <w:bCs/>
        </w:rPr>
        <w:t>How Minting Works</w:t>
      </w:r>
    </w:p>
    <w:p w14:paraId="60DD6AF9" w14:textId="77777777" w:rsidR="003F4C0B" w:rsidRPr="003F4C0B" w:rsidRDefault="003F4C0B" w:rsidP="003F4C0B">
      <w:r w:rsidRPr="003F4C0B">
        <w:t>The specifics of minting depend on the type of asset being created and the blockchain's consensus mechanism. </w:t>
      </w:r>
    </w:p>
    <w:p w14:paraId="295DC181" w14:textId="77777777" w:rsidR="003F4C0B" w:rsidRPr="003F4C0B" w:rsidRDefault="003F4C0B" w:rsidP="003F4C0B">
      <w:pPr>
        <w:numPr>
          <w:ilvl w:val="0"/>
          <w:numId w:val="1"/>
        </w:numPr>
      </w:pPr>
      <w:r w:rsidRPr="003F4C0B">
        <w:rPr>
          <w:b/>
          <w:bCs/>
        </w:rPr>
        <w:t>For Cryptocurrencies:</w:t>
      </w:r>
      <w:r w:rsidRPr="003F4C0B">
        <w:t> Minting typically occurs in networks that use a </w:t>
      </w:r>
      <w:r w:rsidRPr="003F4C0B">
        <w:rPr>
          <w:b/>
          <w:bCs/>
        </w:rPr>
        <w:t>Proof-of-Stake (</w:t>
      </w:r>
      <w:proofErr w:type="spellStart"/>
      <w:r w:rsidRPr="003F4C0B">
        <w:rPr>
          <w:b/>
          <w:bCs/>
        </w:rPr>
        <w:t>PoS</w:t>
      </w:r>
      <w:proofErr w:type="spellEnd"/>
      <w:r w:rsidRPr="003F4C0B">
        <w:rPr>
          <w:b/>
          <w:bCs/>
        </w:rPr>
        <w:t>)</w:t>
      </w:r>
      <w:r w:rsidRPr="003F4C0B">
        <w:t xml:space="preserve"> consensus mechanism. Participants, known as validators or </w:t>
      </w:r>
      <w:proofErr w:type="spellStart"/>
      <w:r w:rsidRPr="003F4C0B">
        <w:t>stakers</w:t>
      </w:r>
      <w:proofErr w:type="spellEnd"/>
      <w:r w:rsidRPr="003F4C0B">
        <w:t xml:space="preserve">, lock up a certain </w:t>
      </w:r>
      <w:proofErr w:type="gramStart"/>
      <w:r w:rsidRPr="003F4C0B">
        <w:t>amount</w:t>
      </w:r>
      <w:proofErr w:type="gramEnd"/>
      <w:r w:rsidRPr="003F4C0B">
        <w:t xml:space="preserve"> of existing tokens (stake) to verify transactions and create new blocks. In return for securing the network, they are rewarded with newly minted tokens and transaction fees.</w:t>
      </w:r>
    </w:p>
    <w:p w14:paraId="0CD52CAF" w14:textId="77777777" w:rsidR="003F4C0B" w:rsidRPr="003F4C0B" w:rsidRDefault="003F4C0B" w:rsidP="003F4C0B">
      <w:pPr>
        <w:numPr>
          <w:ilvl w:val="0"/>
          <w:numId w:val="1"/>
        </w:numPr>
      </w:pPr>
      <w:r w:rsidRPr="003F4C0B">
        <w:rPr>
          <w:b/>
          <w:bCs/>
        </w:rPr>
        <w:t>For NFTs:</w:t>
      </w:r>
      <w:r w:rsidRPr="003F4C0B">
        <w:t> Minting refers to converting a digital file (such as an image, music, or video) into a unique digital asset on the blockchain. This involves running a </w:t>
      </w:r>
      <w:r w:rsidRPr="003F4C0B">
        <w:rPr>
          <w:b/>
          <w:bCs/>
        </w:rPr>
        <w:t>smart contract</w:t>
      </w:r>
      <w:r w:rsidRPr="003F4C0B">
        <w:t> which generates a unique identifier and records the asset's metadata, ownership details, and authenticity on the ledger. This makes the digital file a unique, tradable commodity.</w:t>
      </w:r>
    </w:p>
    <w:p w14:paraId="691FFF9A" w14:textId="77777777" w:rsidR="003F4C0B" w:rsidRPr="003F4C0B" w:rsidRDefault="003F4C0B" w:rsidP="003F4C0B">
      <w:pPr>
        <w:numPr>
          <w:ilvl w:val="0"/>
          <w:numId w:val="1"/>
        </w:numPr>
      </w:pPr>
      <w:r w:rsidRPr="003F4C0B">
        <w:rPr>
          <w:b/>
          <w:bCs/>
        </w:rPr>
        <w:t>For Stablecoins:</w:t>
      </w:r>
      <w:r w:rsidRPr="003F4C0B">
        <w:t> Minting new stablecoins usually requires collateral (like fiat currency or other digital assets) to be locked in a smart contract to ensure the new coins are backed and their value remains stable. </w:t>
      </w:r>
    </w:p>
    <w:p w14:paraId="0B9DA279" w14:textId="77777777" w:rsidR="003F4C0B" w:rsidRPr="003F4C0B" w:rsidRDefault="003F4C0B" w:rsidP="003F4C0B">
      <w:pPr>
        <w:rPr>
          <w:b/>
          <w:bCs/>
        </w:rPr>
      </w:pPr>
      <w:r w:rsidRPr="003F4C0B">
        <w:rPr>
          <w:b/>
          <w:bCs/>
        </w:rPr>
        <w:t>Key Characteristics of Minting</w:t>
      </w:r>
    </w:p>
    <w:p w14:paraId="396EA22C" w14:textId="77777777" w:rsidR="003F4C0B" w:rsidRPr="003F4C0B" w:rsidRDefault="003F4C0B" w:rsidP="003F4C0B">
      <w:pPr>
        <w:numPr>
          <w:ilvl w:val="0"/>
          <w:numId w:val="2"/>
        </w:numPr>
      </w:pPr>
      <w:r w:rsidRPr="003F4C0B">
        <w:rPr>
          <w:b/>
          <w:bCs/>
        </w:rPr>
        <w:t>Immutability:</w:t>
      </w:r>
      <w:r w:rsidRPr="003F4C0B">
        <w:t> Once an asset is minted and recorded on the blockchain, its data cannot be altered or deleted.</w:t>
      </w:r>
    </w:p>
    <w:p w14:paraId="64503DE3" w14:textId="77777777" w:rsidR="003F4C0B" w:rsidRPr="003F4C0B" w:rsidRDefault="003F4C0B" w:rsidP="003F4C0B">
      <w:pPr>
        <w:numPr>
          <w:ilvl w:val="0"/>
          <w:numId w:val="2"/>
        </w:numPr>
      </w:pPr>
      <w:r w:rsidRPr="003F4C0B">
        <w:rPr>
          <w:b/>
          <w:bCs/>
        </w:rPr>
        <w:t>Ownership Verification:</w:t>
      </w:r>
      <w:r w:rsidRPr="003F4C0B">
        <w:t> Each minted asset has a unique identifier that provides a clear and verifiable proof of ownership and authenticity.</w:t>
      </w:r>
    </w:p>
    <w:p w14:paraId="75630760" w14:textId="77777777" w:rsidR="003F4C0B" w:rsidRPr="003F4C0B" w:rsidRDefault="003F4C0B" w:rsidP="003F4C0B">
      <w:pPr>
        <w:numPr>
          <w:ilvl w:val="0"/>
          <w:numId w:val="2"/>
        </w:numPr>
      </w:pPr>
      <w:r w:rsidRPr="003F4C0B">
        <w:rPr>
          <w:b/>
          <w:bCs/>
        </w:rPr>
        <w:t>Energy Efficiency:</w:t>
      </w:r>
      <w:r w:rsidRPr="003F4C0B">
        <w:t> Minting via Proof-of-Stake is significantly more energy-efficient compared to the energy-intensive Proof-of-Work "mining" process used by cryptocurrencies like Bitcoin.</w:t>
      </w:r>
    </w:p>
    <w:p w14:paraId="731EECE0" w14:textId="77777777" w:rsidR="003F4C0B" w:rsidRPr="003F4C0B" w:rsidRDefault="003F4C0B" w:rsidP="003F4C0B">
      <w:pPr>
        <w:numPr>
          <w:ilvl w:val="0"/>
          <w:numId w:val="2"/>
        </w:numPr>
      </w:pPr>
      <w:r w:rsidRPr="003F4C0B">
        <w:rPr>
          <w:b/>
          <w:bCs/>
        </w:rPr>
        <w:t>Decentralization:</w:t>
      </w:r>
      <w:r w:rsidRPr="003F4C0B">
        <w:t> Minting allows for the creation of assets without a central authority, democratizing access to asset creation. </w:t>
      </w:r>
    </w:p>
    <w:p w14:paraId="04724916" w14:textId="77777777" w:rsidR="003F4C0B" w:rsidRPr="003F4C0B" w:rsidRDefault="003F4C0B" w:rsidP="003F4C0B">
      <w:r w:rsidRPr="003F4C0B">
        <w:t>Platforms like </w:t>
      </w:r>
      <w:proofErr w:type="spellStart"/>
      <w:r w:rsidRPr="003F4C0B">
        <w:t>OpenSea</w:t>
      </w:r>
      <w:proofErr w:type="spellEnd"/>
      <w:r w:rsidRPr="003F4C0B">
        <w:t>, </w:t>
      </w:r>
      <w:proofErr w:type="spellStart"/>
      <w:r w:rsidRPr="003F4C0B">
        <w:t>Rarible</w:t>
      </w:r>
      <w:proofErr w:type="spellEnd"/>
      <w:r w:rsidRPr="003F4C0B">
        <w:t>, and Binance offer services that allow users to mint and trade various digital assets on their marketplaces.</w:t>
      </w:r>
    </w:p>
    <w:p w14:paraId="7C9ECFBC" w14:textId="77777777" w:rsidR="003F4C0B" w:rsidRPr="003F4C0B" w:rsidRDefault="003F4C0B" w:rsidP="003F4C0B">
      <w:pPr>
        <w:rPr>
          <w:b/>
          <w:bCs/>
        </w:rPr>
      </w:pPr>
      <w:r w:rsidRPr="003F4C0B">
        <w:rPr>
          <w:b/>
          <w:bCs/>
        </w:rPr>
        <w:lastRenderedPageBreak/>
        <w:t>1. Environmental Impact</w:t>
      </w:r>
    </w:p>
    <w:p w14:paraId="73945934" w14:textId="77777777" w:rsidR="003F4C0B" w:rsidRPr="003F4C0B" w:rsidRDefault="003F4C0B" w:rsidP="003F4C0B">
      <w:r w:rsidRPr="003F4C0B">
        <w:t>Minting can be energy-intensive depending on the blockchain's "consensus mechanism". </w:t>
      </w:r>
    </w:p>
    <w:p w14:paraId="1D2F250A" w14:textId="77777777" w:rsidR="003F4C0B" w:rsidRPr="003F4C0B" w:rsidRDefault="003F4C0B" w:rsidP="003F4C0B">
      <w:pPr>
        <w:numPr>
          <w:ilvl w:val="0"/>
          <w:numId w:val="3"/>
        </w:numPr>
      </w:pPr>
      <w:r w:rsidRPr="003F4C0B">
        <w:rPr>
          <w:b/>
          <w:bCs/>
        </w:rPr>
        <w:t>Proof-of-Work (PoW):</w:t>
      </w:r>
      <w:r w:rsidRPr="003F4C0B">
        <w:t> Traditional blockchains (like Bitcoin) require massive computational power, leading to high carbon emissions and electronic waste.</w:t>
      </w:r>
    </w:p>
    <w:p w14:paraId="34ACC1EE" w14:textId="77777777" w:rsidR="003F4C0B" w:rsidRPr="003F4C0B" w:rsidRDefault="003F4C0B" w:rsidP="003F4C0B">
      <w:pPr>
        <w:numPr>
          <w:ilvl w:val="0"/>
          <w:numId w:val="3"/>
        </w:numPr>
      </w:pPr>
      <w:r w:rsidRPr="003F4C0B">
        <w:rPr>
          <w:b/>
          <w:bCs/>
        </w:rPr>
        <w:t>Proof-of-Stake (</w:t>
      </w:r>
      <w:proofErr w:type="spellStart"/>
      <w:r w:rsidRPr="003F4C0B">
        <w:rPr>
          <w:b/>
          <w:bCs/>
        </w:rPr>
        <w:t>PoS</w:t>
      </w:r>
      <w:proofErr w:type="spellEnd"/>
      <w:r w:rsidRPr="003F4C0B">
        <w:rPr>
          <w:b/>
          <w:bCs/>
        </w:rPr>
        <w:t>):</w:t>
      </w:r>
      <w:r w:rsidRPr="003F4C0B">
        <w:t> Modern blockchains (like Ethereum post-"Merge") use 99.9% less energy, making minting far more sustainable. </w:t>
      </w:r>
    </w:p>
    <w:p w14:paraId="6298A45F" w14:textId="77777777" w:rsidR="003F4C0B" w:rsidRPr="003F4C0B" w:rsidRDefault="003F4C0B" w:rsidP="003F4C0B">
      <w:pPr>
        <w:rPr>
          <w:b/>
          <w:bCs/>
        </w:rPr>
      </w:pPr>
      <w:r w:rsidRPr="003F4C0B">
        <w:rPr>
          <w:b/>
          <w:bCs/>
        </w:rPr>
        <w:t>2. Legal and Ethical Concerns</w:t>
      </w:r>
    </w:p>
    <w:p w14:paraId="14E6B358" w14:textId="77777777" w:rsidR="003F4C0B" w:rsidRPr="003F4C0B" w:rsidRDefault="003F4C0B" w:rsidP="003F4C0B">
      <w:pPr>
        <w:numPr>
          <w:ilvl w:val="0"/>
          <w:numId w:val="4"/>
        </w:numPr>
      </w:pPr>
      <w:r w:rsidRPr="003F4C0B">
        <w:rPr>
          <w:b/>
          <w:bCs/>
        </w:rPr>
        <w:t>Intellectual Property (IP) Theft:</w:t>
      </w:r>
      <w:r w:rsidRPr="003F4C0B">
        <w:t> Minting artwork or content you do not own is considered theft and can lead to legal action.</w:t>
      </w:r>
    </w:p>
    <w:p w14:paraId="717B00D8" w14:textId="77777777" w:rsidR="003F4C0B" w:rsidRPr="003F4C0B" w:rsidRDefault="003F4C0B" w:rsidP="003F4C0B">
      <w:pPr>
        <w:numPr>
          <w:ilvl w:val="0"/>
          <w:numId w:val="4"/>
        </w:numPr>
      </w:pPr>
      <w:r w:rsidRPr="003F4C0B">
        <w:rPr>
          <w:b/>
          <w:bCs/>
        </w:rPr>
        <w:t>Financial Scams:</w:t>
      </w:r>
      <w:r w:rsidRPr="003F4C0B">
        <w:t> "Wash trading" (minting and selling to yourself to fake value) and "rug pulls" (abandoning a project after taking investors' money) are unethical and often illegal.</w:t>
      </w:r>
    </w:p>
    <w:p w14:paraId="16DC626C" w14:textId="77777777" w:rsidR="003F4C0B" w:rsidRPr="003F4C0B" w:rsidRDefault="003F4C0B" w:rsidP="003F4C0B">
      <w:pPr>
        <w:numPr>
          <w:ilvl w:val="0"/>
          <w:numId w:val="4"/>
        </w:numPr>
      </w:pPr>
      <w:r w:rsidRPr="003F4C0B">
        <w:rPr>
          <w:b/>
          <w:bCs/>
        </w:rPr>
        <w:t>Religious/Ethical Principles:</w:t>
      </w:r>
      <w:r w:rsidRPr="003F4C0B">
        <w:t> In Islamic finance, minting may be considered </w:t>
      </w:r>
      <w:r w:rsidRPr="003F4C0B">
        <w:rPr>
          <w:b/>
          <w:bCs/>
        </w:rPr>
        <w:t>haram</w:t>
      </w:r>
      <w:r w:rsidRPr="003F4C0B">
        <w:t> if the content is prohibited (e.g., gambling, adult content) or if it involves high-risk speculation. </w:t>
      </w:r>
    </w:p>
    <w:p w14:paraId="1FB877C4" w14:textId="77777777" w:rsidR="003F4C0B" w:rsidRPr="003F4C0B" w:rsidRDefault="003F4C0B" w:rsidP="003F4C0B">
      <w:pPr>
        <w:rPr>
          <w:b/>
          <w:bCs/>
        </w:rPr>
      </w:pPr>
      <w:r w:rsidRPr="003F4C0B">
        <w:rPr>
          <w:b/>
          <w:bCs/>
        </w:rPr>
        <w:t>3. Financial Risks</w:t>
      </w:r>
    </w:p>
    <w:p w14:paraId="02D76C54" w14:textId="77777777" w:rsidR="003F4C0B" w:rsidRPr="003F4C0B" w:rsidRDefault="003F4C0B" w:rsidP="003F4C0B">
      <w:pPr>
        <w:numPr>
          <w:ilvl w:val="0"/>
          <w:numId w:val="5"/>
        </w:numPr>
      </w:pPr>
      <w:r w:rsidRPr="003F4C0B">
        <w:rPr>
          <w:b/>
          <w:bCs/>
        </w:rPr>
        <w:t>Volatility:</w:t>
      </w:r>
      <w:r w:rsidRPr="003F4C0B">
        <w:t> Minted assets, especially NFTs, can lose all value quickly.</w:t>
      </w:r>
    </w:p>
    <w:p w14:paraId="1D6388FE" w14:textId="77777777" w:rsidR="003F4C0B" w:rsidRPr="003F4C0B" w:rsidRDefault="003F4C0B" w:rsidP="003F4C0B">
      <w:pPr>
        <w:numPr>
          <w:ilvl w:val="0"/>
          <w:numId w:val="5"/>
        </w:numPr>
      </w:pPr>
      <w:r w:rsidRPr="003F4C0B">
        <w:rPr>
          <w:b/>
          <w:bCs/>
        </w:rPr>
        <w:t>Costs:</w:t>
      </w:r>
      <w:r w:rsidRPr="003F4C0B">
        <w:t> High "gas fees" can result in losing money if the asset doesn't sell for more than the cost to mint it. </w:t>
      </w:r>
    </w:p>
    <w:p w14:paraId="0E8B2DC7" w14:textId="77777777" w:rsidR="003F4C0B" w:rsidRPr="003F4C0B" w:rsidRDefault="003F4C0B" w:rsidP="003F4C0B">
      <w:r w:rsidRPr="003F4C0B">
        <w:t>For a responsible approach, many creators now use </w:t>
      </w:r>
      <w:proofErr w:type="spellStart"/>
      <w:r w:rsidRPr="003F4C0B">
        <w:t>OpenSea</w:t>
      </w:r>
      <w:proofErr w:type="spellEnd"/>
      <w:r w:rsidRPr="003F4C0B">
        <w:t> or </w:t>
      </w:r>
      <w:proofErr w:type="spellStart"/>
      <w:r w:rsidRPr="003F4C0B">
        <w:t>Rarible</w:t>
      </w:r>
      <w:proofErr w:type="spellEnd"/>
      <w:r w:rsidRPr="003F4C0B">
        <w:t> on eco-friendly networks like </w:t>
      </w:r>
      <w:r w:rsidRPr="003F4C0B">
        <w:rPr>
          <w:b/>
          <w:bCs/>
        </w:rPr>
        <w:t>Solana</w:t>
      </w:r>
      <w:r w:rsidRPr="003F4C0B">
        <w:t> or </w:t>
      </w:r>
      <w:r w:rsidRPr="003F4C0B">
        <w:rPr>
          <w:b/>
          <w:bCs/>
        </w:rPr>
        <w:t>Polygon</w:t>
      </w:r>
      <w:r w:rsidRPr="003F4C0B">
        <w:t> to minimize their footprint. </w:t>
      </w:r>
    </w:p>
    <w:p w14:paraId="35465364" w14:textId="77777777" w:rsidR="003F4C0B" w:rsidRPr="003F4C0B" w:rsidRDefault="003F4C0B" w:rsidP="003F4C0B">
      <w:r w:rsidRPr="003F4C0B">
        <w:t>In a trading environment, </w:t>
      </w:r>
      <w:r w:rsidRPr="003F4C0B">
        <w:rPr>
          <w:b/>
          <w:bCs/>
        </w:rPr>
        <w:t>alpha measures an investment's performance (excess return) relative to its expected return after adjusting for risk</w:t>
      </w:r>
      <w:r w:rsidRPr="003F4C0B">
        <w:t>, while </w:t>
      </w:r>
      <w:r w:rsidRPr="003F4C0B">
        <w:rPr>
          <w:b/>
          <w:bCs/>
        </w:rPr>
        <w:t>beta measures the investment's volatility (risk) compared to the overall market</w:t>
      </w:r>
      <w:r w:rsidRPr="003F4C0B">
        <w:t>. </w:t>
      </w:r>
    </w:p>
    <w:p w14:paraId="65F9FA9E" w14:textId="77777777" w:rsidR="003F4C0B" w:rsidRPr="003F4C0B" w:rsidRDefault="003F4C0B" w:rsidP="003F4C0B">
      <w:pPr>
        <w:rPr>
          <w:b/>
          <w:bCs/>
        </w:rPr>
      </w:pPr>
      <w:r w:rsidRPr="003F4C0B">
        <w:rPr>
          <w:b/>
          <w:bCs/>
        </w:rPr>
        <w:t>Key Differences Between Alpha and Beta</w:t>
      </w:r>
    </w:p>
    <w:tbl>
      <w:tblPr>
        <w:tblW w:w="9780" w:type="dxa"/>
        <w:tblCellMar>
          <w:top w:w="15" w:type="dxa"/>
          <w:left w:w="15" w:type="dxa"/>
          <w:bottom w:w="15" w:type="dxa"/>
          <w:right w:w="15" w:type="dxa"/>
        </w:tblCellMar>
        <w:tblLook w:val="04A0" w:firstRow="1" w:lastRow="0" w:firstColumn="1" w:lastColumn="0" w:noHBand="0" w:noVBand="1"/>
      </w:tblPr>
      <w:tblGrid>
        <w:gridCol w:w="1537"/>
        <w:gridCol w:w="4267"/>
        <w:gridCol w:w="3976"/>
      </w:tblGrid>
      <w:tr w:rsidR="003F4C0B" w:rsidRPr="003F4C0B" w14:paraId="57CBB142" w14:textId="77777777">
        <w:tc>
          <w:tcPr>
            <w:tcW w:w="0" w:type="auto"/>
            <w:tcBorders>
              <w:bottom w:val="single" w:sz="6" w:space="0" w:color="DCDFE5"/>
            </w:tcBorders>
            <w:tcMar>
              <w:top w:w="120" w:type="dxa"/>
              <w:left w:w="0" w:type="dxa"/>
              <w:bottom w:w="120" w:type="dxa"/>
              <w:right w:w="240" w:type="dxa"/>
            </w:tcMar>
            <w:hideMark/>
          </w:tcPr>
          <w:p w14:paraId="421070B1" w14:textId="77777777" w:rsidR="003F4C0B" w:rsidRPr="003F4C0B" w:rsidRDefault="003F4C0B" w:rsidP="003F4C0B">
            <w:pPr>
              <w:rPr>
                <w:b/>
                <w:bCs/>
              </w:rPr>
            </w:pPr>
            <w:r w:rsidRPr="003F4C0B">
              <w:rPr>
                <w:b/>
                <w:bCs/>
              </w:rPr>
              <w:t>Particulars </w:t>
            </w:r>
          </w:p>
        </w:tc>
        <w:tc>
          <w:tcPr>
            <w:tcW w:w="0" w:type="auto"/>
            <w:tcBorders>
              <w:bottom w:val="single" w:sz="6" w:space="0" w:color="DCDFE5"/>
            </w:tcBorders>
            <w:tcMar>
              <w:top w:w="120" w:type="dxa"/>
              <w:left w:w="0" w:type="dxa"/>
              <w:bottom w:w="120" w:type="dxa"/>
              <w:right w:w="240" w:type="dxa"/>
            </w:tcMar>
            <w:hideMark/>
          </w:tcPr>
          <w:p w14:paraId="0BC0025B" w14:textId="77777777" w:rsidR="003F4C0B" w:rsidRPr="003F4C0B" w:rsidRDefault="003F4C0B" w:rsidP="003F4C0B">
            <w:pPr>
              <w:rPr>
                <w:b/>
                <w:bCs/>
              </w:rPr>
            </w:pPr>
            <w:r w:rsidRPr="003F4C0B">
              <w:rPr>
                <w:b/>
                <w:bCs/>
              </w:rPr>
              <w:t>Alpha</w:t>
            </w:r>
          </w:p>
        </w:tc>
        <w:tc>
          <w:tcPr>
            <w:tcW w:w="0" w:type="auto"/>
            <w:tcBorders>
              <w:bottom w:val="single" w:sz="6" w:space="0" w:color="DCDFE5"/>
            </w:tcBorders>
            <w:tcMar>
              <w:top w:w="120" w:type="dxa"/>
              <w:left w:w="0" w:type="dxa"/>
              <w:bottom w:w="120" w:type="dxa"/>
              <w:right w:w="0" w:type="dxa"/>
            </w:tcMar>
            <w:hideMark/>
          </w:tcPr>
          <w:p w14:paraId="60271E8B" w14:textId="77777777" w:rsidR="003F4C0B" w:rsidRPr="003F4C0B" w:rsidRDefault="003F4C0B" w:rsidP="003F4C0B">
            <w:pPr>
              <w:rPr>
                <w:b/>
                <w:bCs/>
              </w:rPr>
            </w:pPr>
            <w:r w:rsidRPr="003F4C0B">
              <w:rPr>
                <w:b/>
                <w:bCs/>
              </w:rPr>
              <w:t>Beta</w:t>
            </w:r>
          </w:p>
        </w:tc>
      </w:tr>
      <w:tr w:rsidR="003F4C0B" w:rsidRPr="003F4C0B" w14:paraId="7A7BBF56" w14:textId="77777777">
        <w:tc>
          <w:tcPr>
            <w:tcW w:w="0" w:type="auto"/>
            <w:tcBorders>
              <w:bottom w:val="single" w:sz="6" w:space="0" w:color="DCDFE5"/>
            </w:tcBorders>
            <w:tcMar>
              <w:top w:w="180" w:type="dxa"/>
              <w:left w:w="0" w:type="dxa"/>
              <w:bottom w:w="180" w:type="dxa"/>
              <w:right w:w="240" w:type="dxa"/>
            </w:tcMar>
            <w:hideMark/>
          </w:tcPr>
          <w:p w14:paraId="3C5C06FF" w14:textId="77777777" w:rsidR="003F4C0B" w:rsidRPr="003F4C0B" w:rsidRDefault="003F4C0B" w:rsidP="003F4C0B">
            <w:r w:rsidRPr="003F4C0B">
              <w:rPr>
                <w:b/>
                <w:bCs/>
              </w:rPr>
              <w:t>What it measures</w:t>
            </w:r>
          </w:p>
        </w:tc>
        <w:tc>
          <w:tcPr>
            <w:tcW w:w="0" w:type="auto"/>
            <w:tcBorders>
              <w:bottom w:val="single" w:sz="6" w:space="0" w:color="DCDFE5"/>
            </w:tcBorders>
            <w:tcMar>
              <w:top w:w="180" w:type="dxa"/>
              <w:left w:w="0" w:type="dxa"/>
              <w:bottom w:w="180" w:type="dxa"/>
              <w:right w:w="240" w:type="dxa"/>
            </w:tcMar>
            <w:hideMark/>
          </w:tcPr>
          <w:p w14:paraId="31852C32" w14:textId="77777777" w:rsidR="003F4C0B" w:rsidRPr="003F4C0B" w:rsidRDefault="003F4C0B" w:rsidP="003F4C0B">
            <w:r w:rsidRPr="003F4C0B">
              <w:t>Excess return above the expected return, given the risk.</w:t>
            </w:r>
          </w:p>
        </w:tc>
        <w:tc>
          <w:tcPr>
            <w:tcW w:w="0" w:type="auto"/>
            <w:tcBorders>
              <w:bottom w:val="single" w:sz="6" w:space="0" w:color="DCDFE5"/>
            </w:tcBorders>
            <w:tcMar>
              <w:top w:w="180" w:type="dxa"/>
              <w:left w:w="0" w:type="dxa"/>
              <w:bottom w:w="180" w:type="dxa"/>
              <w:right w:w="0" w:type="dxa"/>
            </w:tcMar>
            <w:hideMark/>
          </w:tcPr>
          <w:p w14:paraId="5CFD3F8C" w14:textId="77777777" w:rsidR="003F4C0B" w:rsidRPr="003F4C0B" w:rsidRDefault="003F4C0B" w:rsidP="003F4C0B">
            <w:r w:rsidRPr="003F4C0B">
              <w:t>Volatility relative to the broad market (systematic risk).</w:t>
            </w:r>
          </w:p>
        </w:tc>
      </w:tr>
      <w:tr w:rsidR="003F4C0B" w:rsidRPr="003F4C0B" w14:paraId="2236FC58" w14:textId="77777777">
        <w:tc>
          <w:tcPr>
            <w:tcW w:w="0" w:type="auto"/>
            <w:tcBorders>
              <w:bottom w:val="single" w:sz="6" w:space="0" w:color="DCDFE5"/>
            </w:tcBorders>
            <w:tcMar>
              <w:top w:w="180" w:type="dxa"/>
              <w:left w:w="0" w:type="dxa"/>
              <w:bottom w:w="180" w:type="dxa"/>
              <w:right w:w="240" w:type="dxa"/>
            </w:tcMar>
            <w:hideMark/>
          </w:tcPr>
          <w:p w14:paraId="78685281" w14:textId="77777777" w:rsidR="003F4C0B" w:rsidRPr="003F4C0B" w:rsidRDefault="003F4C0B" w:rsidP="003F4C0B">
            <w:r w:rsidRPr="003F4C0B">
              <w:rPr>
                <w:b/>
                <w:bCs/>
              </w:rPr>
              <w:lastRenderedPageBreak/>
              <w:t>Purpose</w:t>
            </w:r>
          </w:p>
        </w:tc>
        <w:tc>
          <w:tcPr>
            <w:tcW w:w="0" w:type="auto"/>
            <w:tcBorders>
              <w:bottom w:val="single" w:sz="6" w:space="0" w:color="DCDFE5"/>
            </w:tcBorders>
            <w:tcMar>
              <w:top w:w="180" w:type="dxa"/>
              <w:left w:w="0" w:type="dxa"/>
              <w:bottom w:w="180" w:type="dxa"/>
              <w:right w:w="240" w:type="dxa"/>
            </w:tcMar>
            <w:hideMark/>
          </w:tcPr>
          <w:p w14:paraId="55322043" w14:textId="77777777" w:rsidR="003F4C0B" w:rsidRPr="003F4C0B" w:rsidRDefault="003F4C0B" w:rsidP="003F4C0B">
            <w:r w:rsidRPr="003F4C0B">
              <w:t>Assesses a portfolio manager's skill or the value added by a strategy.</w:t>
            </w:r>
          </w:p>
        </w:tc>
        <w:tc>
          <w:tcPr>
            <w:tcW w:w="0" w:type="auto"/>
            <w:tcBorders>
              <w:bottom w:val="single" w:sz="6" w:space="0" w:color="DCDFE5"/>
            </w:tcBorders>
            <w:tcMar>
              <w:top w:w="180" w:type="dxa"/>
              <w:left w:w="0" w:type="dxa"/>
              <w:bottom w:w="180" w:type="dxa"/>
              <w:right w:w="0" w:type="dxa"/>
            </w:tcMar>
            <w:hideMark/>
          </w:tcPr>
          <w:p w14:paraId="7F0C9EDA" w14:textId="77777777" w:rsidR="003F4C0B" w:rsidRPr="003F4C0B" w:rsidRDefault="003F4C0B" w:rsidP="003F4C0B">
            <w:r w:rsidRPr="003F4C0B">
              <w:t>Provides a baseline for the expected risk and return based on market exposure.</w:t>
            </w:r>
          </w:p>
        </w:tc>
      </w:tr>
      <w:tr w:rsidR="003F4C0B" w:rsidRPr="003F4C0B" w14:paraId="6715C6B0" w14:textId="77777777">
        <w:tc>
          <w:tcPr>
            <w:tcW w:w="0" w:type="auto"/>
            <w:tcBorders>
              <w:bottom w:val="single" w:sz="6" w:space="0" w:color="DCDFE5"/>
            </w:tcBorders>
            <w:tcMar>
              <w:top w:w="180" w:type="dxa"/>
              <w:left w:w="0" w:type="dxa"/>
              <w:bottom w:w="180" w:type="dxa"/>
              <w:right w:w="240" w:type="dxa"/>
            </w:tcMar>
            <w:hideMark/>
          </w:tcPr>
          <w:p w14:paraId="327B8C38" w14:textId="77777777" w:rsidR="003F4C0B" w:rsidRPr="003F4C0B" w:rsidRDefault="003F4C0B" w:rsidP="003F4C0B">
            <w:r w:rsidRPr="003F4C0B">
              <w:rPr>
                <w:b/>
                <w:bCs/>
              </w:rPr>
              <w:t>Baseline Value</w:t>
            </w:r>
          </w:p>
        </w:tc>
        <w:tc>
          <w:tcPr>
            <w:tcW w:w="0" w:type="auto"/>
            <w:tcBorders>
              <w:bottom w:val="single" w:sz="6" w:space="0" w:color="DCDFE5"/>
            </w:tcBorders>
            <w:tcMar>
              <w:top w:w="180" w:type="dxa"/>
              <w:left w:w="0" w:type="dxa"/>
              <w:bottom w:w="180" w:type="dxa"/>
              <w:right w:w="240" w:type="dxa"/>
            </w:tcMar>
            <w:hideMark/>
          </w:tcPr>
          <w:p w14:paraId="48BF086D" w14:textId="77777777" w:rsidR="003F4C0B" w:rsidRPr="003F4C0B" w:rsidRDefault="003F4C0B" w:rsidP="003F4C0B">
            <w:r w:rsidRPr="003F4C0B">
              <w:rPr>
                <w:b/>
                <w:bCs/>
              </w:rPr>
              <w:t>Zero (0)</w:t>
            </w:r>
            <w:r w:rsidRPr="003F4C0B">
              <w:t>. A positive alpha means outperformance; a negative alpha means underperformance.</w:t>
            </w:r>
          </w:p>
        </w:tc>
        <w:tc>
          <w:tcPr>
            <w:tcW w:w="0" w:type="auto"/>
            <w:tcBorders>
              <w:bottom w:val="single" w:sz="6" w:space="0" w:color="DCDFE5"/>
            </w:tcBorders>
            <w:tcMar>
              <w:top w:w="180" w:type="dxa"/>
              <w:left w:w="0" w:type="dxa"/>
              <w:bottom w:w="180" w:type="dxa"/>
              <w:right w:w="0" w:type="dxa"/>
            </w:tcMar>
            <w:hideMark/>
          </w:tcPr>
          <w:p w14:paraId="63B30D65" w14:textId="77777777" w:rsidR="003F4C0B" w:rsidRPr="003F4C0B" w:rsidRDefault="003F4C0B" w:rsidP="003F4C0B">
            <w:r w:rsidRPr="003F4C0B">
              <w:rPr>
                <w:b/>
                <w:bCs/>
              </w:rPr>
              <w:t>One (1)</w:t>
            </w:r>
            <w:r w:rsidRPr="003F4C0B">
              <w:t>. A beta over 1 indicates higher volatility; a beta lower than 1 indicates less volatility.</w:t>
            </w:r>
          </w:p>
        </w:tc>
      </w:tr>
      <w:tr w:rsidR="003F4C0B" w:rsidRPr="003F4C0B" w14:paraId="27F7E23B" w14:textId="77777777">
        <w:tc>
          <w:tcPr>
            <w:tcW w:w="0" w:type="auto"/>
            <w:tcBorders>
              <w:bottom w:val="nil"/>
            </w:tcBorders>
            <w:tcMar>
              <w:top w:w="180" w:type="dxa"/>
              <w:left w:w="0" w:type="dxa"/>
              <w:bottom w:w="180" w:type="dxa"/>
              <w:right w:w="240" w:type="dxa"/>
            </w:tcMar>
            <w:hideMark/>
          </w:tcPr>
          <w:p w14:paraId="49743676" w14:textId="77777777" w:rsidR="003F4C0B" w:rsidRPr="003F4C0B" w:rsidRDefault="003F4C0B" w:rsidP="003F4C0B">
            <w:r w:rsidRPr="003F4C0B">
              <w:rPr>
                <w:b/>
                <w:bCs/>
              </w:rPr>
              <w:t>Goal</w:t>
            </w:r>
          </w:p>
        </w:tc>
        <w:tc>
          <w:tcPr>
            <w:tcW w:w="0" w:type="auto"/>
            <w:tcBorders>
              <w:bottom w:val="nil"/>
            </w:tcBorders>
            <w:tcMar>
              <w:top w:w="180" w:type="dxa"/>
              <w:left w:w="0" w:type="dxa"/>
              <w:bottom w:w="180" w:type="dxa"/>
              <w:right w:w="240" w:type="dxa"/>
            </w:tcMar>
            <w:hideMark/>
          </w:tcPr>
          <w:p w14:paraId="0A5A359F" w14:textId="77777777" w:rsidR="003F4C0B" w:rsidRPr="003F4C0B" w:rsidRDefault="003F4C0B" w:rsidP="003F4C0B">
            <w:r w:rsidRPr="003F4C0B">
              <w:t>Investors seek a positive alpha (e.g., +2%) to beat the market.</w:t>
            </w:r>
          </w:p>
        </w:tc>
        <w:tc>
          <w:tcPr>
            <w:tcW w:w="0" w:type="auto"/>
            <w:tcBorders>
              <w:bottom w:val="nil"/>
            </w:tcBorders>
            <w:tcMar>
              <w:top w:w="180" w:type="dxa"/>
              <w:left w:w="0" w:type="dxa"/>
              <w:bottom w:w="180" w:type="dxa"/>
              <w:right w:w="0" w:type="dxa"/>
            </w:tcMar>
            <w:hideMark/>
          </w:tcPr>
          <w:p w14:paraId="41C7C5B1" w14:textId="77777777" w:rsidR="003F4C0B" w:rsidRPr="003F4C0B" w:rsidRDefault="003F4C0B" w:rsidP="003F4C0B">
            <w:r w:rsidRPr="003F4C0B">
              <w:t>Investors select a beta that matches their risk tolerance (e.g., a risk-averse investor might prefer a beta below </w:t>
            </w:r>
            <w:r w:rsidRPr="003F4C0B">
              <w:rPr>
                <w:b/>
                <w:bCs/>
              </w:rPr>
              <w:t>1</w:t>
            </w:r>
            <w:r w:rsidRPr="003F4C0B">
              <w:t>).</w:t>
            </w:r>
          </w:p>
        </w:tc>
      </w:tr>
    </w:tbl>
    <w:p w14:paraId="6BAEBD7C" w14:textId="77777777" w:rsidR="003F4C0B" w:rsidRPr="003F4C0B" w:rsidRDefault="003F4C0B" w:rsidP="003F4C0B">
      <w:pPr>
        <w:rPr>
          <w:b/>
          <w:bCs/>
        </w:rPr>
      </w:pPr>
      <w:r w:rsidRPr="003F4C0B">
        <w:rPr>
          <w:b/>
          <w:bCs/>
        </w:rPr>
        <w:t>How They Work Together</w:t>
      </w:r>
    </w:p>
    <w:p w14:paraId="29A825E6" w14:textId="77777777" w:rsidR="003F4C0B" w:rsidRPr="003F4C0B" w:rsidRDefault="003F4C0B" w:rsidP="003F4C0B">
      <w:r w:rsidRPr="003F4C0B">
        <w:t>Alpha and beta are essential components of modern portfolio theory and are often used together in the Capital Asset Pricing Model (CAPM). Beta helps quantify the market-related risk, which is then used to determine the expected return. Any performance above that expected return is considered alpha, attributed to unique factors or management skill rather than general market movements.</w:t>
      </w:r>
    </w:p>
    <w:p w14:paraId="4838BC52" w14:textId="0D50C8B7" w:rsidR="003F5677" w:rsidRDefault="003F5677"/>
    <w:p w14:paraId="4A0D9E28" w14:textId="77777777" w:rsidR="003F4C0B" w:rsidRPr="003F4C0B" w:rsidRDefault="003F4C0B" w:rsidP="003F4C0B">
      <w:r w:rsidRPr="003F4C0B">
        <w:t>The sentence </w:t>
      </w:r>
      <w:r w:rsidRPr="003F4C0B">
        <w:rPr>
          <w:b/>
          <w:bCs/>
        </w:rPr>
        <w:t>"Conditional Edge Confirmation (Baseline 10/50 EMA)"</w:t>
      </w:r>
      <w:r w:rsidRPr="003F4C0B">
        <w:t> describes a specific trading strategy that uses two Exponential Moving Averages (EMAs) to identify a potential trading advantage (edge) and requires a secondary condition to be met before entering a trade (confirmation). </w:t>
      </w:r>
    </w:p>
    <w:p w14:paraId="07794A36" w14:textId="77777777" w:rsidR="003F4C0B" w:rsidRPr="003F4C0B" w:rsidRDefault="003F4C0B" w:rsidP="003F4C0B">
      <w:r w:rsidRPr="003F4C0B">
        <w:t>Here is a breakdown of the components:</w:t>
      </w:r>
    </w:p>
    <w:p w14:paraId="5320BFC0" w14:textId="77777777" w:rsidR="003F4C0B" w:rsidRPr="003F4C0B" w:rsidRDefault="003F4C0B" w:rsidP="003F4C0B">
      <w:pPr>
        <w:numPr>
          <w:ilvl w:val="0"/>
          <w:numId w:val="6"/>
        </w:numPr>
      </w:pPr>
      <w:r w:rsidRPr="003F4C0B">
        <w:rPr>
          <w:b/>
          <w:bCs/>
        </w:rPr>
        <w:t>Conditional Confirmation:</w:t>
      </w:r>
      <w:r w:rsidRPr="003F4C0B">
        <w:t> This means that the primary signal, likely a moving average crossover, is not enough to automatically trigger a trade. An additional, pre-defined condition must be satisfied to validate the signal and filter out false entry points. This increases the quality of trade setups.</w:t>
      </w:r>
    </w:p>
    <w:p w14:paraId="2A690331" w14:textId="77777777" w:rsidR="003F4C0B" w:rsidRPr="003F4C0B" w:rsidRDefault="003F4C0B" w:rsidP="003F4C0B">
      <w:pPr>
        <w:numPr>
          <w:ilvl w:val="0"/>
          <w:numId w:val="6"/>
        </w:numPr>
      </w:pPr>
      <w:r w:rsidRPr="003F4C0B">
        <w:rPr>
          <w:b/>
          <w:bCs/>
        </w:rPr>
        <w:t>Edge:</w:t>
      </w:r>
      <w:r w:rsidRPr="003F4C0B">
        <w:t> In trading, an "edge" is a repeatable method or approach that provides a statistical advantage over other market participants, leading to more profits than losses over time. The "edge" here is derived from the moving average system.</w:t>
      </w:r>
    </w:p>
    <w:p w14:paraId="19AC2B7F" w14:textId="77777777" w:rsidR="003F4C0B" w:rsidRPr="003F4C0B" w:rsidRDefault="003F4C0B" w:rsidP="003F4C0B">
      <w:pPr>
        <w:numPr>
          <w:ilvl w:val="0"/>
          <w:numId w:val="6"/>
        </w:numPr>
      </w:pPr>
      <w:r w:rsidRPr="003F4C0B">
        <w:rPr>
          <w:b/>
          <w:bCs/>
        </w:rPr>
        <w:t>Baseline 10/50 EMA:</w:t>
      </w:r>
      <w:r w:rsidRPr="003F4C0B">
        <w:t> This refers to the specific technical indicators used in the strategy:</w:t>
      </w:r>
    </w:p>
    <w:p w14:paraId="7D0D5F8E" w14:textId="77777777" w:rsidR="003F4C0B" w:rsidRPr="003F4C0B" w:rsidRDefault="003F4C0B" w:rsidP="003F4C0B">
      <w:pPr>
        <w:numPr>
          <w:ilvl w:val="1"/>
          <w:numId w:val="6"/>
        </w:numPr>
      </w:pPr>
      <w:r w:rsidRPr="003F4C0B">
        <w:rPr>
          <w:b/>
          <w:bCs/>
        </w:rPr>
        <w:lastRenderedPageBreak/>
        <w:t>EMA:</w:t>
      </w:r>
      <w:r w:rsidRPr="003F4C0B">
        <w:t> Exponential Moving Average, a type of moving average that gives more weight to recent prices, making it quicker to react to market changes than a Simple Moving Average (SMA).</w:t>
      </w:r>
    </w:p>
    <w:p w14:paraId="0517C22D" w14:textId="77777777" w:rsidR="003F4C0B" w:rsidRPr="003F4C0B" w:rsidRDefault="003F4C0B" w:rsidP="003F4C0B">
      <w:pPr>
        <w:numPr>
          <w:ilvl w:val="1"/>
          <w:numId w:val="6"/>
        </w:numPr>
      </w:pPr>
      <w:r w:rsidRPr="003F4C0B">
        <w:rPr>
          <w:b/>
          <w:bCs/>
        </w:rPr>
        <w:t>10/50:</w:t>
      </w:r>
      <w:r w:rsidRPr="003F4C0B">
        <w:t> These are the time periods (e.g., 10-day and 50-day) used for the two EMAs. The 10-period EMA is the "fast" average (short-term trend), and the 50-period EMA is the "slow" or "baseline" average (medium-term trend). </w:t>
      </w:r>
    </w:p>
    <w:p w14:paraId="7B80E7EC" w14:textId="77777777" w:rsidR="003F4C0B" w:rsidRPr="003F4C0B" w:rsidRDefault="003F4C0B" w:rsidP="003F4C0B">
      <w:r w:rsidRPr="003F4C0B">
        <w:t>The strategy likely involves monitoring when the </w:t>
      </w:r>
      <w:r w:rsidRPr="003F4C0B">
        <w:rPr>
          <w:b/>
          <w:bCs/>
        </w:rPr>
        <w:t>10 EMA crosses the 50 EMA</w:t>
      </w:r>
      <w:r w:rsidRPr="003F4C0B">
        <w:t> to indicate a shift in the trend, but the actual trade entry is </w:t>
      </w:r>
      <w:r w:rsidRPr="003F4C0B">
        <w:rPr>
          <w:b/>
          <w:bCs/>
        </w:rPr>
        <w:t>conditional</w:t>
      </w:r>
      <w:r w:rsidRPr="003F4C0B">
        <w:t> upon another event or indicator (the "Confirmation") occurring simultaneously or shortly after, such as a specific candlestick pattern, an RSI reading, or a break of a support/resistance level. </w:t>
      </w:r>
    </w:p>
    <w:p w14:paraId="7F81064B" w14:textId="77777777" w:rsidR="003F4C0B" w:rsidRDefault="003F4C0B"/>
    <w:p w14:paraId="342E4669" w14:textId="77777777" w:rsidR="003F4C0B" w:rsidRPr="003F4C0B" w:rsidRDefault="003F4C0B" w:rsidP="003F4C0B">
      <w:r w:rsidRPr="003F4C0B">
        <w:rPr>
          <w:b/>
          <w:bCs/>
        </w:rPr>
        <w:t>Regime awareness participation</w:t>
      </w:r>
      <w:r w:rsidRPr="003F4C0B">
        <w:t> refers to a trading approach where market participants actively identify the current </w:t>
      </w:r>
      <w:r w:rsidRPr="003F4C0B">
        <w:rPr>
          <w:i/>
          <w:iCs/>
        </w:rPr>
        <w:t>market regime</w:t>
      </w:r>
      <w:r w:rsidRPr="003F4C0B">
        <w:t> (the prevailing, persistent state or "mood" of the market, such as trending, range-bound, high volatility, or low volatility) and tailor their trading strategies, risk management, and capital allocation to match those specific conditions. </w:t>
      </w:r>
    </w:p>
    <w:p w14:paraId="6E4FEFE6" w14:textId="77777777" w:rsidR="003F4C0B" w:rsidRPr="003F4C0B" w:rsidRDefault="003F4C0B" w:rsidP="003F4C0B">
      <w:r w:rsidRPr="003F4C0B">
        <w:t>Instead of applying a single, static strategy in all environments, a regime-aware participant adapts their actions to align with how the market is currently behaving. </w:t>
      </w:r>
    </w:p>
    <w:p w14:paraId="0BB34EE2" w14:textId="77777777" w:rsidR="003F4C0B" w:rsidRPr="003F4C0B" w:rsidRDefault="003F4C0B" w:rsidP="003F4C0B">
      <w:pPr>
        <w:rPr>
          <w:b/>
          <w:bCs/>
        </w:rPr>
      </w:pPr>
      <w:r w:rsidRPr="003F4C0B">
        <w:rPr>
          <w:b/>
          <w:bCs/>
        </w:rPr>
        <w:t>Key Aspects of Regime Awareness Participation</w:t>
      </w:r>
    </w:p>
    <w:p w14:paraId="78E5DF2F" w14:textId="77777777" w:rsidR="003F4C0B" w:rsidRPr="003F4C0B" w:rsidRDefault="003F4C0B" w:rsidP="003F4C0B">
      <w:pPr>
        <w:numPr>
          <w:ilvl w:val="0"/>
          <w:numId w:val="7"/>
        </w:numPr>
      </w:pPr>
      <w:r w:rsidRPr="003F4C0B">
        <w:rPr>
          <w:b/>
          <w:bCs/>
        </w:rPr>
        <w:t>Understanding Regimes:</w:t>
      </w:r>
      <w:r w:rsidRPr="003F4C0B">
        <w:t> Traders first use various tools (technical indicators like the VIX index, moving averages, or price action analysis, as well as advanced statistical models) to classify the market's current state.</w:t>
      </w:r>
    </w:p>
    <w:p w14:paraId="25AFF8ED" w14:textId="77777777" w:rsidR="003F4C0B" w:rsidRPr="003F4C0B" w:rsidRDefault="003F4C0B" w:rsidP="003F4C0B">
      <w:pPr>
        <w:numPr>
          <w:ilvl w:val="0"/>
          <w:numId w:val="7"/>
        </w:numPr>
      </w:pPr>
      <w:r w:rsidRPr="003F4C0B">
        <w:rPr>
          <w:b/>
          <w:bCs/>
        </w:rPr>
        <w:t>Adaptive Strategy Selection:</w:t>
      </w:r>
      <w:r w:rsidRPr="003F4C0B">
        <w:t> Different strategies thrive in different regimes:</w:t>
      </w:r>
    </w:p>
    <w:p w14:paraId="6AED5078" w14:textId="77777777" w:rsidR="003F4C0B" w:rsidRPr="003F4C0B" w:rsidRDefault="003F4C0B" w:rsidP="003F4C0B">
      <w:pPr>
        <w:numPr>
          <w:ilvl w:val="1"/>
          <w:numId w:val="7"/>
        </w:numPr>
      </w:pPr>
      <w:r w:rsidRPr="003F4C0B">
        <w:rPr>
          <w:b/>
          <w:bCs/>
        </w:rPr>
        <w:t>Trending markets</w:t>
      </w:r>
      <w:r w:rsidRPr="003F4C0B">
        <w:t> favor trend-following or momentum strategies.</w:t>
      </w:r>
    </w:p>
    <w:p w14:paraId="2D350A86" w14:textId="77777777" w:rsidR="003F4C0B" w:rsidRPr="003F4C0B" w:rsidRDefault="003F4C0B" w:rsidP="003F4C0B">
      <w:pPr>
        <w:numPr>
          <w:ilvl w:val="1"/>
          <w:numId w:val="7"/>
        </w:numPr>
      </w:pPr>
      <w:r w:rsidRPr="003F4C0B">
        <w:rPr>
          <w:b/>
          <w:bCs/>
        </w:rPr>
        <w:t>Range-bound (sideways) markets</w:t>
      </w:r>
      <w:r w:rsidRPr="003F4C0B">
        <w:t> are better suited for mean-reversion strategies.</w:t>
      </w:r>
    </w:p>
    <w:p w14:paraId="66E18521" w14:textId="77777777" w:rsidR="003F4C0B" w:rsidRPr="003F4C0B" w:rsidRDefault="003F4C0B" w:rsidP="003F4C0B">
      <w:pPr>
        <w:numPr>
          <w:ilvl w:val="1"/>
          <w:numId w:val="7"/>
        </w:numPr>
      </w:pPr>
      <w:r w:rsidRPr="003F4C0B">
        <w:rPr>
          <w:b/>
          <w:bCs/>
        </w:rPr>
        <w:t>High-volatility markets</w:t>
      </w:r>
      <w:r w:rsidRPr="003F4C0B">
        <w:t> may require short-term tactics like scalping, tighter stop-losses, and smaller position sizes.</w:t>
      </w:r>
    </w:p>
    <w:p w14:paraId="74BD23A5" w14:textId="77777777" w:rsidR="003F4C0B" w:rsidRPr="003F4C0B" w:rsidRDefault="003F4C0B" w:rsidP="003F4C0B">
      <w:pPr>
        <w:numPr>
          <w:ilvl w:val="0"/>
          <w:numId w:val="7"/>
        </w:numPr>
      </w:pPr>
      <w:r w:rsidRPr="003F4C0B">
        <w:rPr>
          <w:b/>
          <w:bCs/>
        </w:rPr>
        <w:t>Dynamic Risk Management:</w:t>
      </w:r>
      <w:r w:rsidRPr="003F4C0B">
        <w:t> Participation involves dynamically adjusting risk exposure and position sizing based on the current regime's volatility and potential for drawdowns. For instance, a trader might reduce leverage in a high-volatility, "risk-off" environment and increase exposure in a calm, trending market.</w:t>
      </w:r>
    </w:p>
    <w:p w14:paraId="170D56EC" w14:textId="77777777" w:rsidR="003F4C0B" w:rsidRPr="003F4C0B" w:rsidRDefault="003F4C0B" w:rsidP="003F4C0B">
      <w:pPr>
        <w:numPr>
          <w:ilvl w:val="0"/>
          <w:numId w:val="7"/>
        </w:numPr>
      </w:pPr>
      <w:r w:rsidRPr="003F4C0B">
        <w:rPr>
          <w:b/>
          <w:bCs/>
        </w:rPr>
        <w:lastRenderedPageBreak/>
        <w:t>Improved Performance:</w:t>
      </w:r>
      <w:r w:rsidRPr="003F4C0B">
        <w:t> By aligning their participation with the prevailing market conditions, traders can enhance their risk-adjusted returns and reduce unnecessary losses caused by using the wrong strategy for the environment. </w:t>
      </w:r>
    </w:p>
    <w:p w14:paraId="75CC5773" w14:textId="77777777" w:rsidR="003F4C0B" w:rsidRPr="003F4C0B" w:rsidRDefault="003F4C0B" w:rsidP="003F4C0B">
      <w:r w:rsidRPr="003F4C0B">
        <w:t>In essence, "regime awareness participation" is about acting intelligently and in sync with the market's rhythm, rather than forcing a predefined approach that might fail when conditions shift. </w:t>
      </w:r>
    </w:p>
    <w:p w14:paraId="76391D6C" w14:textId="77777777" w:rsidR="003F4C0B" w:rsidRDefault="003F4C0B"/>
    <w:p w14:paraId="687B57B9" w14:textId="77777777" w:rsidR="003F4C0B" w:rsidRPr="003F4C0B" w:rsidRDefault="003F4C0B" w:rsidP="003F4C0B">
      <w:r w:rsidRPr="003F4C0B">
        <w:t>In trading, </w:t>
      </w:r>
      <w:r w:rsidRPr="003F4C0B">
        <w:rPr>
          <w:b/>
          <w:bCs/>
        </w:rPr>
        <w:t>Sharpe</w:t>
      </w:r>
      <w:r w:rsidRPr="003F4C0B">
        <w:t> (the Sharpe Ratio) is a metric used to understand the </w:t>
      </w:r>
      <w:r w:rsidRPr="003F4C0B">
        <w:rPr>
          <w:b/>
          <w:bCs/>
        </w:rPr>
        <w:t>risk-adjusted return</w:t>
      </w:r>
      <w:r w:rsidRPr="003F4C0B">
        <w:t> of an investment. It tells you if your profits are due to smart decisions or simply taking on too much "unnecessary" risk.</w:t>
      </w:r>
    </w:p>
    <w:p w14:paraId="5EE13EE7" w14:textId="77777777" w:rsidR="003F4C0B" w:rsidRPr="003F4C0B" w:rsidRDefault="003F4C0B" w:rsidP="003F4C0B">
      <w:r w:rsidRPr="003F4C0B">
        <w:t>The ratio was developed by Nobel laureate William F. Sharpe and is widely used on platforms like Morningstar and Investopedia to compare different funds or strategies.</w:t>
      </w:r>
    </w:p>
    <w:p w14:paraId="023716F0" w14:textId="77777777" w:rsidR="003F4C0B" w:rsidRPr="003F4C0B" w:rsidRDefault="003F4C0B" w:rsidP="003F4C0B">
      <w:pPr>
        <w:rPr>
          <w:b/>
          <w:bCs/>
        </w:rPr>
      </w:pPr>
      <w:r w:rsidRPr="003F4C0B">
        <w:rPr>
          <w:b/>
          <w:bCs/>
        </w:rPr>
        <w:t>The Breakdown</w:t>
      </w:r>
    </w:p>
    <w:p w14:paraId="1677A1B3" w14:textId="77777777" w:rsidR="003F4C0B" w:rsidRPr="003F4C0B" w:rsidRDefault="003F4C0B" w:rsidP="003F4C0B">
      <w:r w:rsidRPr="003F4C0B">
        <w:t>The formula subtracts the "risk-free rate" (like a safe US Treasury bond) from your total return and divides that number by your </w:t>
      </w:r>
      <w:r w:rsidRPr="003F4C0B">
        <w:rPr>
          <w:b/>
          <w:bCs/>
        </w:rPr>
        <w:t>volatility</w:t>
      </w:r>
      <w:r w:rsidRPr="003F4C0B">
        <w:t> (standard deviation).</w:t>
      </w:r>
    </w:p>
    <w:p w14:paraId="0682FF77" w14:textId="77777777" w:rsidR="003F4C0B" w:rsidRPr="003F4C0B" w:rsidRDefault="003F4C0B" w:rsidP="003F4C0B">
      <w:pPr>
        <w:numPr>
          <w:ilvl w:val="0"/>
          <w:numId w:val="8"/>
        </w:numPr>
      </w:pPr>
      <w:r w:rsidRPr="003F4C0B">
        <w:rPr>
          <w:b/>
          <w:bCs/>
        </w:rPr>
        <w:t>Low Sharpe (&lt;1.0):</w:t>
      </w:r>
      <w:r w:rsidRPr="003F4C0B">
        <w:t> Poor or mediocre. You are taking a lot of "heat" (volatility) for the money you're making.</w:t>
      </w:r>
    </w:p>
    <w:p w14:paraId="6A8F1B85" w14:textId="77777777" w:rsidR="003F4C0B" w:rsidRPr="003F4C0B" w:rsidRDefault="003F4C0B" w:rsidP="003F4C0B">
      <w:pPr>
        <w:numPr>
          <w:ilvl w:val="0"/>
          <w:numId w:val="8"/>
        </w:numPr>
      </w:pPr>
      <w:r w:rsidRPr="003F4C0B">
        <w:rPr>
          <w:b/>
          <w:bCs/>
        </w:rPr>
        <w:t>Good Sharpe (1.0–2.0):</w:t>
      </w:r>
      <w:r w:rsidRPr="003F4C0B">
        <w:t> Considered acceptable or good by professional standards.</w:t>
      </w:r>
    </w:p>
    <w:p w14:paraId="0F1FAC5D" w14:textId="77777777" w:rsidR="003F4C0B" w:rsidRPr="003F4C0B" w:rsidRDefault="003F4C0B" w:rsidP="003F4C0B">
      <w:pPr>
        <w:numPr>
          <w:ilvl w:val="0"/>
          <w:numId w:val="8"/>
        </w:numPr>
      </w:pPr>
      <w:r w:rsidRPr="003F4C0B">
        <w:rPr>
          <w:b/>
          <w:bCs/>
        </w:rPr>
        <w:t>High Sharpe (&gt;3.0):</w:t>
      </w:r>
      <w:r w:rsidRPr="003F4C0B">
        <w:t> Excellent. This indicates very high returns with relatively smooth, low-volatility growth.</w:t>
      </w:r>
    </w:p>
    <w:p w14:paraId="4D24269A" w14:textId="77777777" w:rsidR="003F4C0B" w:rsidRPr="003F4C0B" w:rsidRDefault="003F4C0B" w:rsidP="003F4C0B">
      <w:pPr>
        <w:rPr>
          <w:b/>
          <w:bCs/>
        </w:rPr>
      </w:pPr>
      <w:r w:rsidRPr="003F4C0B">
        <w:rPr>
          <w:b/>
          <w:bCs/>
        </w:rPr>
        <w:t>Why it matters</w:t>
      </w:r>
    </w:p>
    <w:p w14:paraId="7EE9D256" w14:textId="77777777" w:rsidR="003F4C0B" w:rsidRPr="003F4C0B" w:rsidRDefault="003F4C0B" w:rsidP="003F4C0B">
      <w:r w:rsidRPr="003F4C0B">
        <w:t>Imagine two traders:</w:t>
      </w:r>
    </w:p>
    <w:p w14:paraId="6B3718C3" w14:textId="77777777" w:rsidR="003F4C0B" w:rsidRPr="003F4C0B" w:rsidRDefault="003F4C0B" w:rsidP="003F4C0B">
      <w:pPr>
        <w:numPr>
          <w:ilvl w:val="0"/>
          <w:numId w:val="9"/>
        </w:numPr>
      </w:pPr>
      <w:r w:rsidRPr="003F4C0B">
        <w:rPr>
          <w:b/>
          <w:bCs/>
        </w:rPr>
        <w:t>Trader A:</w:t>
      </w:r>
      <w:r w:rsidRPr="003F4C0B">
        <w:t> Makes 20% but their account swings up and down by 50% every month.</w:t>
      </w:r>
    </w:p>
    <w:p w14:paraId="3BBDE3DB" w14:textId="77777777" w:rsidR="003F4C0B" w:rsidRPr="003F4C0B" w:rsidRDefault="003F4C0B" w:rsidP="003F4C0B">
      <w:pPr>
        <w:numPr>
          <w:ilvl w:val="0"/>
          <w:numId w:val="9"/>
        </w:numPr>
      </w:pPr>
      <w:r w:rsidRPr="003F4C0B">
        <w:rPr>
          <w:b/>
          <w:bCs/>
        </w:rPr>
        <w:t>Trader B:</w:t>
      </w:r>
      <w:r w:rsidRPr="003F4C0B">
        <w:t> Makes 15% but their account only ever drops by 5%.</w:t>
      </w:r>
    </w:p>
    <w:p w14:paraId="7EDB1B80" w14:textId="77777777" w:rsidR="003F4C0B" w:rsidRPr="003F4C0B" w:rsidRDefault="003F4C0B" w:rsidP="003F4C0B">
      <w:r w:rsidRPr="003F4C0B">
        <w:rPr>
          <w:b/>
          <w:bCs/>
        </w:rPr>
        <w:t>Trader B has a much higher Sharpe Ratio.</w:t>
      </w:r>
      <w:r w:rsidRPr="003F4C0B">
        <w:t> Even though they made less total profit, their strategy is more sustainable and less likely to result in a total "blow up."</w:t>
      </w:r>
    </w:p>
    <w:p w14:paraId="5525D85F" w14:textId="77777777" w:rsidR="003F4C0B" w:rsidRPr="003F4C0B" w:rsidRDefault="003F4C0B" w:rsidP="003F4C0B">
      <w:r w:rsidRPr="003F4C0B">
        <w:t>In finance and trading, </w:t>
      </w:r>
      <w:r w:rsidRPr="003F4C0B">
        <w:rPr>
          <w:b/>
          <w:bCs/>
        </w:rPr>
        <w:t>"market ret"</w:t>
      </w:r>
      <w:r w:rsidRPr="003F4C0B">
        <w:t> is an abbreviation for </w:t>
      </w:r>
      <w:r w:rsidRPr="003F4C0B">
        <w:rPr>
          <w:b/>
          <w:bCs/>
        </w:rPr>
        <w:t>market return</w:t>
      </w:r>
      <w:r w:rsidRPr="003F4C0B">
        <w:t>, which represents the aggregated gains or losses of a specific financial market or a segment of that market over a given period. It is often used as a benchmark to measure the performance of individual investments or portfolios. </w:t>
      </w:r>
    </w:p>
    <w:p w14:paraId="27EAAAE6" w14:textId="77777777" w:rsidR="003F4C0B" w:rsidRPr="003F4C0B" w:rsidRDefault="003F4C0B" w:rsidP="003F4C0B">
      <w:r w:rsidRPr="003F4C0B">
        <w:lastRenderedPageBreak/>
        <w:t>Market return is typically measured by tracking the performance of a broad market index, such as the S&amp;P 500 or the Nasdaq Composite, and usually includes both: </w:t>
      </w:r>
    </w:p>
    <w:p w14:paraId="70AB1317" w14:textId="77777777" w:rsidR="003F4C0B" w:rsidRPr="003F4C0B" w:rsidRDefault="003F4C0B" w:rsidP="003F4C0B">
      <w:pPr>
        <w:numPr>
          <w:ilvl w:val="0"/>
          <w:numId w:val="10"/>
        </w:numPr>
      </w:pPr>
      <w:r w:rsidRPr="003F4C0B">
        <w:rPr>
          <w:b/>
          <w:bCs/>
        </w:rPr>
        <w:t>Capital Gains:</w:t>
      </w:r>
      <w:r w:rsidRPr="003F4C0B">
        <w:t> The change in the price or market value of the underlying assets.</w:t>
      </w:r>
    </w:p>
    <w:p w14:paraId="6E085BE1" w14:textId="77777777" w:rsidR="003F4C0B" w:rsidRPr="003F4C0B" w:rsidRDefault="003F4C0B" w:rsidP="003F4C0B">
      <w:pPr>
        <w:numPr>
          <w:ilvl w:val="0"/>
          <w:numId w:val="10"/>
        </w:numPr>
      </w:pPr>
      <w:r w:rsidRPr="003F4C0B">
        <w:rPr>
          <w:b/>
          <w:bCs/>
        </w:rPr>
        <w:t>Income:</w:t>
      </w:r>
      <w:r w:rsidRPr="003F4C0B">
        <w:t> Any cash flows generated, such as dividends for stocks or interest for bonds, which are typically assumed to be reinvested to provide a total return figure. </w:t>
      </w:r>
    </w:p>
    <w:p w14:paraId="51B9B0C3" w14:textId="77777777" w:rsidR="003F4C0B" w:rsidRPr="003F4C0B" w:rsidRDefault="003F4C0B" w:rsidP="003F4C0B">
      <w:pPr>
        <w:rPr>
          <w:b/>
          <w:bCs/>
        </w:rPr>
      </w:pPr>
      <w:r w:rsidRPr="003F4C0B">
        <w:rPr>
          <w:b/>
          <w:bCs/>
        </w:rPr>
        <w:t>Key Uses in Trading</w:t>
      </w:r>
    </w:p>
    <w:p w14:paraId="5BBF0394" w14:textId="77777777" w:rsidR="003F4C0B" w:rsidRPr="003F4C0B" w:rsidRDefault="003F4C0B" w:rsidP="003F4C0B">
      <w:pPr>
        <w:numPr>
          <w:ilvl w:val="0"/>
          <w:numId w:val="11"/>
        </w:numPr>
      </w:pPr>
      <w:r w:rsidRPr="003F4C0B">
        <w:rPr>
          <w:b/>
          <w:bCs/>
        </w:rPr>
        <w:t>Benchmarking Performance:</w:t>
      </w:r>
      <w:r w:rsidRPr="003F4C0B">
        <w:t> Traders compare their portfolio returns to the relevant market return to determine if they are outperforming (generating "alpha") or underperforming the market.</w:t>
      </w:r>
    </w:p>
    <w:p w14:paraId="49F91D55" w14:textId="77777777" w:rsidR="003F4C0B" w:rsidRPr="003F4C0B" w:rsidRDefault="003F4C0B" w:rsidP="003F4C0B">
      <w:pPr>
        <w:numPr>
          <w:ilvl w:val="0"/>
          <w:numId w:val="11"/>
        </w:numPr>
      </w:pPr>
      <w:r w:rsidRPr="003F4C0B">
        <w:rPr>
          <w:b/>
          <w:bCs/>
        </w:rPr>
        <w:t>Economic Indicator:</w:t>
      </w:r>
      <w:r w:rsidRPr="003F4C0B">
        <w:t> Market returns provide insights into the overall health of the economy and investor sentiment. Positive returns often correlate with economic growth.</w:t>
      </w:r>
    </w:p>
    <w:p w14:paraId="74E7142D" w14:textId="77777777" w:rsidR="003F4C0B" w:rsidRPr="003F4C0B" w:rsidRDefault="003F4C0B" w:rsidP="003F4C0B">
      <w:pPr>
        <w:numPr>
          <w:ilvl w:val="0"/>
          <w:numId w:val="11"/>
        </w:numPr>
      </w:pPr>
      <w:r w:rsidRPr="003F4C0B">
        <w:rPr>
          <w:b/>
          <w:bCs/>
        </w:rPr>
        <w:t>Risk Analysis:</w:t>
      </w:r>
      <w:r w:rsidRPr="003F4C0B">
        <w:t> The volatility of market returns is a key component in financial models like the Capital Asset Pricing Model (CAPM), which helps assess the systematic risk (beta) of an investment. </w:t>
      </w:r>
    </w:p>
    <w:p w14:paraId="5FFDFB6E" w14:textId="77777777" w:rsidR="003F4C0B" w:rsidRPr="003F4C0B" w:rsidRDefault="003F4C0B" w:rsidP="003F4C0B">
      <w:r w:rsidRPr="003F4C0B">
        <w:t>While historical market returns provide valuable data for analysis, they are not guarantees of future performance.</w:t>
      </w:r>
    </w:p>
    <w:p w14:paraId="75802746" w14:textId="77777777" w:rsidR="003F4C0B" w:rsidRDefault="003F4C0B"/>
    <w:p w14:paraId="593FFB67" w14:textId="77777777" w:rsidR="003F4C0B" w:rsidRPr="003F4C0B" w:rsidRDefault="003F4C0B" w:rsidP="003F4C0B">
      <w:r w:rsidRPr="003F4C0B">
        <w:t>In trading, </w:t>
      </w:r>
      <w:r w:rsidRPr="003F4C0B">
        <w:rPr>
          <w:b/>
          <w:bCs/>
        </w:rPr>
        <w:t>PPO</w:t>
      </w:r>
      <w:r w:rsidRPr="003F4C0B">
        <w:t> stands for the </w:t>
      </w:r>
      <w:r w:rsidRPr="003F4C0B">
        <w:rPr>
          <w:b/>
          <w:bCs/>
        </w:rPr>
        <w:t>Percentage Price Oscillator</w:t>
      </w:r>
      <w:r w:rsidRPr="003F4C0B">
        <w:t>, a technical indicator used to measure momentum and identify trend changes in an asset's price. </w:t>
      </w:r>
    </w:p>
    <w:p w14:paraId="069C8BAB" w14:textId="77777777" w:rsidR="003F4C0B" w:rsidRPr="003F4C0B" w:rsidRDefault="003F4C0B" w:rsidP="003F4C0B">
      <w:r w:rsidRPr="003F4C0B">
        <w:t>It is very similar to the well-known Moving Average Convergence Divergence (MACD) indicator, but with a key difference: the PPO expresses the difference between two Exponential Moving Averages (EMAs) as a </w:t>
      </w:r>
      <w:r w:rsidRPr="003F4C0B">
        <w:rPr>
          <w:i/>
          <w:iCs/>
        </w:rPr>
        <w:t>percentage</w:t>
      </w:r>
      <w:r w:rsidRPr="003F4C0B">
        <w:t> of the longer-term EMA, rather than an absolute dollar value. This percentage-based approach makes it particularly useful for comparing the momentum and volatility of different stocks or assets with vastly different price levels (e.g., comparing a $50 stock with a $5,000 stock). </w:t>
      </w:r>
    </w:p>
    <w:p w14:paraId="3EA6CC27" w14:textId="77777777" w:rsidR="003F4C0B" w:rsidRPr="003F4C0B" w:rsidRDefault="003F4C0B" w:rsidP="003F4C0B">
      <w:pPr>
        <w:rPr>
          <w:b/>
          <w:bCs/>
        </w:rPr>
      </w:pPr>
      <w:r w:rsidRPr="003F4C0B">
        <w:rPr>
          <w:b/>
          <w:bCs/>
        </w:rPr>
        <w:t>How PPO Works</w:t>
      </w:r>
    </w:p>
    <w:p w14:paraId="1FF2D461" w14:textId="77777777" w:rsidR="003F4C0B" w:rsidRPr="003F4C0B" w:rsidRDefault="003F4C0B" w:rsidP="003F4C0B">
      <w:r w:rsidRPr="003F4C0B">
        <w:t>The PPO typically consists of three components displayed below a price chart: </w:t>
      </w:r>
    </w:p>
    <w:p w14:paraId="41CA4968" w14:textId="77777777" w:rsidR="003F4C0B" w:rsidRPr="003F4C0B" w:rsidRDefault="003F4C0B" w:rsidP="003F4C0B">
      <w:pPr>
        <w:numPr>
          <w:ilvl w:val="0"/>
          <w:numId w:val="12"/>
        </w:numPr>
      </w:pPr>
      <w:r w:rsidRPr="003F4C0B">
        <w:rPr>
          <w:b/>
          <w:bCs/>
        </w:rPr>
        <w:t>The PPO Line:</w:t>
      </w:r>
      <w:r w:rsidRPr="003F4C0B">
        <w:t> The main line of the indicator, representing the percentage difference between a short-term EMA (typically 12-period) and a long-term EMA (typically 26-period).</w:t>
      </w:r>
    </w:p>
    <w:p w14:paraId="086EEF27" w14:textId="77777777" w:rsidR="003F4C0B" w:rsidRPr="003F4C0B" w:rsidRDefault="003F4C0B" w:rsidP="003F4C0B">
      <w:pPr>
        <w:numPr>
          <w:ilvl w:val="0"/>
          <w:numId w:val="12"/>
        </w:numPr>
      </w:pPr>
      <w:r w:rsidRPr="003F4C0B">
        <w:rPr>
          <w:b/>
          <w:bCs/>
        </w:rPr>
        <w:lastRenderedPageBreak/>
        <w:t>The Signal Line:</w:t>
      </w:r>
      <w:r w:rsidRPr="003F4C0B">
        <w:t> A 9-period EMA of the PPO line itself, used to generate buy and sell signals.</w:t>
      </w:r>
    </w:p>
    <w:p w14:paraId="22D972E0" w14:textId="77777777" w:rsidR="003F4C0B" w:rsidRPr="003F4C0B" w:rsidRDefault="003F4C0B" w:rsidP="003F4C0B">
      <w:pPr>
        <w:numPr>
          <w:ilvl w:val="0"/>
          <w:numId w:val="12"/>
        </w:numPr>
      </w:pPr>
      <w:r w:rsidRPr="003F4C0B">
        <w:rPr>
          <w:b/>
          <w:bCs/>
        </w:rPr>
        <w:t>The Histogram:</w:t>
      </w:r>
      <w:r w:rsidRPr="003F4C0B">
        <w:t> Bars that represent the difference between the PPO line and the signal line, visualizing the strength and acceleration of the momentum. </w:t>
      </w:r>
    </w:p>
    <w:p w14:paraId="0B18CEB3" w14:textId="77777777" w:rsidR="003F4C0B" w:rsidRPr="003F4C0B" w:rsidRDefault="003F4C0B" w:rsidP="003F4C0B">
      <w:pPr>
        <w:rPr>
          <w:b/>
          <w:bCs/>
        </w:rPr>
      </w:pPr>
      <w:r w:rsidRPr="003F4C0B">
        <w:rPr>
          <w:b/>
          <w:bCs/>
        </w:rPr>
        <w:t>Common PPO Signals</w:t>
      </w:r>
    </w:p>
    <w:p w14:paraId="51BE5BE7" w14:textId="77777777" w:rsidR="003F4C0B" w:rsidRPr="003F4C0B" w:rsidRDefault="003F4C0B" w:rsidP="003F4C0B">
      <w:r w:rsidRPr="003F4C0B">
        <w:t>Traders use PPO to generate various signals: </w:t>
      </w:r>
    </w:p>
    <w:p w14:paraId="0ED89393" w14:textId="77777777" w:rsidR="003F4C0B" w:rsidRPr="003F4C0B" w:rsidRDefault="003F4C0B" w:rsidP="003F4C0B">
      <w:pPr>
        <w:numPr>
          <w:ilvl w:val="0"/>
          <w:numId w:val="13"/>
        </w:numPr>
      </w:pPr>
      <w:r w:rsidRPr="003F4C0B">
        <w:rPr>
          <w:b/>
          <w:bCs/>
        </w:rPr>
        <w:t>Signal Line Crossovers:</w:t>
      </w:r>
      <w:r w:rsidRPr="003F4C0B">
        <w:t> A bullish signal occurs when the PPO line crosses above its signal line, suggesting increasing upward momentum. A bearish signal is the opposite.</w:t>
      </w:r>
    </w:p>
    <w:p w14:paraId="25A21C09" w14:textId="77777777" w:rsidR="003F4C0B" w:rsidRPr="003F4C0B" w:rsidRDefault="003F4C0B" w:rsidP="003F4C0B">
      <w:pPr>
        <w:numPr>
          <w:ilvl w:val="0"/>
          <w:numId w:val="13"/>
        </w:numPr>
      </w:pPr>
      <w:r w:rsidRPr="003F4C0B">
        <w:rPr>
          <w:b/>
          <w:bCs/>
        </w:rPr>
        <w:t>Zero-Line Crossovers:</w:t>
      </w:r>
      <w:r w:rsidRPr="003F4C0B">
        <w:t> When the PPO line crosses above the zero line, it indicates that the short-term trend is stronger than the long-term trend (bullish momentum). A cross below zero signals bearish momentum.</w:t>
      </w:r>
    </w:p>
    <w:p w14:paraId="571A507F" w14:textId="77777777" w:rsidR="003F4C0B" w:rsidRPr="003F4C0B" w:rsidRDefault="003F4C0B" w:rsidP="003F4C0B">
      <w:pPr>
        <w:numPr>
          <w:ilvl w:val="0"/>
          <w:numId w:val="13"/>
        </w:numPr>
      </w:pPr>
      <w:r w:rsidRPr="003F4C0B">
        <w:rPr>
          <w:b/>
          <w:bCs/>
        </w:rPr>
        <w:t>Divergence:</w:t>
      </w:r>
      <w:r w:rsidRPr="003F4C0B">
        <w:t> When the price of an asset makes a new high (or low), but the PPO does not, it can signal that the current trend is weakening and a potential reversal may be coming. </w:t>
      </w:r>
    </w:p>
    <w:p w14:paraId="621F1ABA" w14:textId="77777777" w:rsidR="003F4C0B" w:rsidRDefault="003F4C0B"/>
    <w:p w14:paraId="2ED53B6B" w14:textId="77777777" w:rsidR="003F4C0B" w:rsidRDefault="003F4C0B"/>
    <w:p w14:paraId="355D920A" w14:textId="77777777" w:rsidR="003F5677" w:rsidRDefault="003F5677"/>
    <w:sectPr w:rsidR="003F5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5B30"/>
    <w:multiLevelType w:val="multilevel"/>
    <w:tmpl w:val="014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075F"/>
    <w:multiLevelType w:val="multilevel"/>
    <w:tmpl w:val="03B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20A5E"/>
    <w:multiLevelType w:val="multilevel"/>
    <w:tmpl w:val="B5840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5161D"/>
    <w:multiLevelType w:val="multilevel"/>
    <w:tmpl w:val="F9D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B6BA3"/>
    <w:multiLevelType w:val="multilevel"/>
    <w:tmpl w:val="2288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44898"/>
    <w:multiLevelType w:val="multilevel"/>
    <w:tmpl w:val="7650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3050E"/>
    <w:multiLevelType w:val="multilevel"/>
    <w:tmpl w:val="3FE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025C3"/>
    <w:multiLevelType w:val="multilevel"/>
    <w:tmpl w:val="D77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01BEA"/>
    <w:multiLevelType w:val="multilevel"/>
    <w:tmpl w:val="24D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5234B"/>
    <w:multiLevelType w:val="multilevel"/>
    <w:tmpl w:val="3C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16E98"/>
    <w:multiLevelType w:val="multilevel"/>
    <w:tmpl w:val="24AC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E4ADB"/>
    <w:multiLevelType w:val="multilevel"/>
    <w:tmpl w:val="12F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93CD4"/>
    <w:multiLevelType w:val="multilevel"/>
    <w:tmpl w:val="7C9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458831">
    <w:abstractNumId w:val="12"/>
  </w:num>
  <w:num w:numId="2" w16cid:durableId="502670165">
    <w:abstractNumId w:val="8"/>
  </w:num>
  <w:num w:numId="3" w16cid:durableId="1984579482">
    <w:abstractNumId w:val="10"/>
  </w:num>
  <w:num w:numId="4" w16cid:durableId="145363717">
    <w:abstractNumId w:val="0"/>
  </w:num>
  <w:num w:numId="5" w16cid:durableId="1370182189">
    <w:abstractNumId w:val="6"/>
  </w:num>
  <w:num w:numId="6" w16cid:durableId="485828451">
    <w:abstractNumId w:val="2"/>
  </w:num>
  <w:num w:numId="7" w16cid:durableId="1132987591">
    <w:abstractNumId w:val="4"/>
  </w:num>
  <w:num w:numId="8" w16cid:durableId="114519498">
    <w:abstractNumId w:val="11"/>
  </w:num>
  <w:num w:numId="9" w16cid:durableId="1674988085">
    <w:abstractNumId w:val="3"/>
  </w:num>
  <w:num w:numId="10" w16cid:durableId="1722368239">
    <w:abstractNumId w:val="1"/>
  </w:num>
  <w:num w:numId="11" w16cid:durableId="1304385402">
    <w:abstractNumId w:val="5"/>
  </w:num>
  <w:num w:numId="12" w16cid:durableId="458495042">
    <w:abstractNumId w:val="7"/>
  </w:num>
  <w:num w:numId="13" w16cid:durableId="56588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77"/>
    <w:rsid w:val="003F4C0B"/>
    <w:rsid w:val="003F5677"/>
    <w:rsid w:val="00D31DE5"/>
    <w:rsid w:val="00F1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0A6"/>
  <w15:chartTrackingRefBased/>
  <w15:docId w15:val="{385EB820-88A7-4851-9941-B57CE6A7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6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6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6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6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77"/>
    <w:rPr>
      <w:rFonts w:eastAsiaTheme="majorEastAsia" w:cstheme="majorBidi"/>
      <w:color w:val="272727" w:themeColor="text1" w:themeTint="D8"/>
    </w:rPr>
  </w:style>
  <w:style w:type="paragraph" w:styleId="Title">
    <w:name w:val="Title"/>
    <w:basedOn w:val="Normal"/>
    <w:next w:val="Normal"/>
    <w:link w:val="TitleChar"/>
    <w:uiPriority w:val="10"/>
    <w:qFormat/>
    <w:rsid w:val="003F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77"/>
    <w:pPr>
      <w:spacing w:before="160"/>
      <w:jc w:val="center"/>
    </w:pPr>
    <w:rPr>
      <w:i/>
      <w:iCs/>
      <w:color w:val="404040" w:themeColor="text1" w:themeTint="BF"/>
    </w:rPr>
  </w:style>
  <w:style w:type="character" w:customStyle="1" w:styleId="QuoteChar">
    <w:name w:val="Quote Char"/>
    <w:basedOn w:val="DefaultParagraphFont"/>
    <w:link w:val="Quote"/>
    <w:uiPriority w:val="29"/>
    <w:rsid w:val="003F5677"/>
    <w:rPr>
      <w:i/>
      <w:iCs/>
      <w:color w:val="404040" w:themeColor="text1" w:themeTint="BF"/>
    </w:rPr>
  </w:style>
  <w:style w:type="paragraph" w:styleId="ListParagraph">
    <w:name w:val="List Paragraph"/>
    <w:basedOn w:val="Normal"/>
    <w:uiPriority w:val="34"/>
    <w:qFormat/>
    <w:rsid w:val="003F5677"/>
    <w:pPr>
      <w:ind w:left="720"/>
      <w:contextualSpacing/>
    </w:pPr>
  </w:style>
  <w:style w:type="character" w:styleId="IntenseEmphasis">
    <w:name w:val="Intense Emphasis"/>
    <w:basedOn w:val="DefaultParagraphFont"/>
    <w:uiPriority w:val="21"/>
    <w:qFormat/>
    <w:rsid w:val="003F5677"/>
    <w:rPr>
      <w:i/>
      <w:iCs/>
      <w:color w:val="2F5496" w:themeColor="accent1" w:themeShade="BF"/>
    </w:rPr>
  </w:style>
  <w:style w:type="paragraph" w:styleId="IntenseQuote">
    <w:name w:val="Intense Quote"/>
    <w:basedOn w:val="Normal"/>
    <w:next w:val="Normal"/>
    <w:link w:val="IntenseQuoteChar"/>
    <w:uiPriority w:val="30"/>
    <w:qFormat/>
    <w:rsid w:val="003F5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677"/>
    <w:rPr>
      <w:i/>
      <w:iCs/>
      <w:color w:val="2F5496" w:themeColor="accent1" w:themeShade="BF"/>
    </w:rPr>
  </w:style>
  <w:style w:type="character" w:styleId="IntenseReference">
    <w:name w:val="Intense Reference"/>
    <w:basedOn w:val="DefaultParagraphFont"/>
    <w:uiPriority w:val="32"/>
    <w:qFormat/>
    <w:rsid w:val="003F56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3194</TotalTime>
  <Pages>7</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dc:creator>
  <cp:keywords/>
  <dc:description/>
  <cp:lastModifiedBy>Eugene</cp:lastModifiedBy>
  <cp:revision>1</cp:revision>
  <dcterms:created xsi:type="dcterms:W3CDTF">2026-01-29T16:00:00Z</dcterms:created>
  <dcterms:modified xsi:type="dcterms:W3CDTF">2026-01-31T21:14:00Z</dcterms:modified>
</cp:coreProperties>
</file>