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65D6B" w14:textId="77777777" w:rsidR="00253AFD" w:rsidRPr="00253AFD" w:rsidRDefault="00253AFD" w:rsidP="00253AFD">
      <w:pPr>
        <w:spacing w:before="100" w:beforeAutospacing="1" w:after="0" w:line="360" w:lineRule="auto"/>
        <w:jc w:val="both"/>
        <w:outlineLvl w:val="2"/>
        <w:rPr>
          <w:rFonts w:ascii="FrankRuehl" w:eastAsia="Times New Roman" w:hAnsi="FrankRuehl" w:cs="FrankRuehl"/>
          <w:b/>
          <w:bCs/>
          <w:color w:val="1B1C1D"/>
          <w:sz w:val="28"/>
          <w:szCs w:val="28"/>
          <w:rtl/>
        </w:rPr>
      </w:pPr>
      <w:r w:rsidRPr="00253AFD">
        <w:rPr>
          <w:rFonts w:ascii="FrankRuehl" w:eastAsia="Times New Roman" w:hAnsi="FrankRuehl" w:cs="FrankRuehl"/>
          <w:b/>
          <w:bCs/>
          <w:color w:val="1B1C1D"/>
          <w:sz w:val="28"/>
          <w:szCs w:val="28"/>
          <w:bdr w:val="none" w:sz="0" w:space="0" w:color="auto" w:frame="1"/>
          <w:rtl/>
        </w:rPr>
        <w:t>פרויקט המקור: תנועה להעמקת החיבור למורשת היהודית</w:t>
      </w:r>
    </w:p>
    <w:p w14:paraId="6EBAC3D6" w14:textId="77777777" w:rsidR="00253AFD" w:rsidRPr="00253AFD" w:rsidRDefault="00253AFD" w:rsidP="00253AFD">
      <w:pPr>
        <w:spacing w:before="100" w:beforeAutospacing="1" w:after="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הבעיה</w:t>
      </w:r>
    </w:p>
    <w:p w14:paraId="0DF7D89D"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אי אפשר להפריז בערכה של היצירה המחשבתית של עם ישראל. עם ישראל אוחז במסורת מפוארת, אלפי שנים של ידע שנוצר ונוצק מתוך דיונים, ומפגש בין ערכים ובין החיים. אוצרות ספרותיים ומטעני תרבות, אמונה, דעות, ידיעות והשקפות, שנבנו על ידי בני אדם שמבקשים נתיב לעם שלם. אלו מרכיבים את מה שאנו מכנים תורה, או ארון הספרים היהודי. תלוי מאיזה רקע באנו. ברם, עבור חלק גדול מדי מן העם, הגישה לאותם אוצרות היא מוגבלת במקרה הטוב, או חסומה כמעט לחלוטין במקרה הרע. החל מפערי שפה, דרך פערי ידע ומיומנות, המשך ברתיעה תרבותית או ניכוס והדרה מצד זה או אחר, וכלה בשיח ציבורי שמתאפיין בדברים רבים, שעומק אינו אחד מהם. כך אוצרות התרבות שלנו לא יכולים להוות את הנכס שלשמו הם נועדו ונוצרו, ככלי להבנת המציאות וגיבוש תפיסות אודותיה, וכך אנו מוצאים את עצמנו נעדרי חיבור לסיפור הרחב והמשותף שלנו, ומנהלים שיח עקר ללא ניצול של אחד המשאבים החשובים ביותר שעומדים לרשותנו.</w:t>
      </w:r>
    </w:p>
    <w:p w14:paraId="783DB9DA"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 xml:space="preserve">ספק גדול אם אדם שלא מחובר לשורשים של הזהות היהודית שלו, יצליח לחיות בישראל על כל אתגריה. ספק גדול אם אדם כזה ימשיך להיות חלק מהסיפור המשותף של העם היהודי, בין אם בארץ ובין אם בתפוצות. למעשה, סביר להניח </w:t>
      </w:r>
      <w:proofErr w:type="spellStart"/>
      <w:r w:rsidRPr="00253AFD">
        <w:rPr>
          <w:rFonts w:ascii="FrankRuehl" w:eastAsia="Times New Roman" w:hAnsi="FrankRuehl" w:cs="FrankRuehl"/>
          <w:color w:val="1B1C1D"/>
          <w:sz w:val="28"/>
          <w:szCs w:val="28"/>
          <w:rtl/>
        </w:rPr>
        <w:t>בבטחון</w:t>
      </w:r>
      <w:proofErr w:type="spellEnd"/>
      <w:r w:rsidRPr="00253AFD">
        <w:rPr>
          <w:rFonts w:ascii="FrankRuehl" w:eastAsia="Times New Roman" w:hAnsi="FrankRuehl" w:cs="FrankRuehl"/>
          <w:color w:val="1B1C1D"/>
          <w:sz w:val="28"/>
          <w:szCs w:val="28"/>
          <w:rtl/>
        </w:rPr>
        <w:t xml:space="preserve"> גדול למדי, שאדם שמנותק משורשיו היהודיים, לא יישאר בארץ, ובתפוצות כנראה שהעם יאבד אותו כחלק מההתבוללות הגורמת לניתוקם של מאות אלפי יהודים מן העם.</w:t>
      </w:r>
    </w:p>
    <w:p w14:paraId="730FD096"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בעיה זו מוכרת וידועה, אך דומה שטרם נמצא לה פתרון הולם.</w:t>
      </w:r>
    </w:p>
    <w:p w14:paraId="40C1F604"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לכך מצטרפת בעיה נוספת שניתן להצביע עליה ביתר שאת בשנים האחרונות. בתוך כך, אין חולק כי העת הזו מתאפיינת בקיטוב חברתי ושסעים עמוקים בעם. אך בעוד חלק גדול מן השיח המלווה את הקיטוב הזה, עוסק בטענותיהם של שני הצדדים, הרי שבנקל ניתן להבחין שלמעשה קו השבר נע כמעט במקביל סביב שאלת הזהות היהודית. אך בעוד האבחנה קיימת, השיח על הזהות נותר בצד. קשה יהיה להכחיש ששאלת זהות המדינה עומדת בלב המחלוקת. אך הכלים העומדים לרשות הדיון הזה דלים ולוקים בחסר. זאת משום שלמרות שלכולם אין ספק שהיהדות עומדת בלב המפעל הציוני, הרי שהיכולת לדון לעומק על מהי אותה יהדות בה אנו חפצים לחיות, מתבססת על הכרות מעמיקה ויכולת עבודה למול מקורות היהדות.</w:t>
      </w:r>
    </w:p>
    <w:p w14:paraId="6C07C41A"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 xml:space="preserve">אבל מה שורשה של הבעיה, מדוע יש נתק בין אנשים כה רבים לבין המקורות? הסיבות הן רבות. בתוכן יש פערי ידע גדולים שמתחילים במוסדות החינוך בזרמים השונים. פערי מיומנות שהולכים </w:t>
      </w:r>
      <w:r w:rsidRPr="00253AFD">
        <w:rPr>
          <w:rFonts w:ascii="FrankRuehl" w:eastAsia="Times New Roman" w:hAnsi="FrankRuehl" w:cs="FrankRuehl"/>
          <w:color w:val="1B1C1D"/>
          <w:sz w:val="28"/>
          <w:szCs w:val="28"/>
          <w:rtl/>
        </w:rPr>
        <w:lastRenderedPageBreak/>
        <w:t>ומתרחבים ככל שאנשים לא מורגלים לעסוק במקורות היהודיים. פערי תרבות שמולידים גם רתיעה ואף פחד מלגשת למקורות, אלו מוזנים גם מן השיח הציבורי שנוטה להיבהל ולהבהיל מגישה אל מקורות יהודיים. לחלופין ישנם זרמים בעם שמציגים את עצמם בתור האחראים הבלעדיים למקורות ולפרשנות שלהם, אלה עלולים לטעת מצג שווא, כאילו לא כל יהודי יכול לגשת בעצמו למקורותיו. לכל אלו מתווסף פחד, שמא מישהו שמצוי בשיח המקורות יותר ממני, עלול לכפות עלי דבר מה שאיני חפץ בו.</w:t>
      </w:r>
    </w:p>
    <w:p w14:paraId="00FB12AF"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כל אלו מובילים לכך שעבור אנשים רבים מדי, ובטח שעבור השיח הציבורי בישראל, קיימת בעיה גדולה נגישות, המונעת מפגש חי עם המקורות והשורשים המשותפים לכולנו.</w:t>
      </w:r>
    </w:p>
    <w:p w14:paraId="3B087328"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לכך נוספת עובדה שלא ניתן להתעלם ממנה. בעת המודרנית בה כל אדם זוכה להשכלה מעמיקה ואף רחבה, בה תחומי הידע שלנו דורשים למידה מתמדת ומתחדשת לאורך שלבי החיים, לא יתכן שהידע שלנו ביהדות, במקורות ההשראה והבסיס של הזהות הלאומית שלנו, יישאר כה שטחי ובהיקף כה דל.</w:t>
      </w:r>
    </w:p>
    <w:p w14:paraId="4E36861F"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 xml:space="preserve">ההשפעה של הניתוק והיעדר הגישה למקורות היהדות, משפיעה בישראל בעיקר על הציבור החילוני והמסורתי, ובתפוצות ניתן להגיד בבירור שהפער הזה הוא </w:t>
      </w:r>
      <w:proofErr w:type="spellStart"/>
      <w:r w:rsidRPr="00253AFD">
        <w:rPr>
          <w:rFonts w:ascii="FrankRuehl" w:eastAsia="Times New Roman" w:hAnsi="FrankRuehl" w:cs="FrankRuehl"/>
          <w:color w:val="1B1C1D"/>
          <w:sz w:val="28"/>
          <w:szCs w:val="28"/>
          <w:rtl/>
        </w:rPr>
        <w:t>בעייה</w:t>
      </w:r>
      <w:proofErr w:type="spellEnd"/>
      <w:r w:rsidRPr="00253AFD">
        <w:rPr>
          <w:rFonts w:ascii="FrankRuehl" w:eastAsia="Times New Roman" w:hAnsi="FrankRuehl" w:cs="FrankRuehl"/>
          <w:color w:val="1B1C1D"/>
          <w:sz w:val="28"/>
          <w:szCs w:val="28"/>
          <w:rtl/>
        </w:rPr>
        <w:t xml:space="preserve"> </w:t>
      </w:r>
      <w:proofErr w:type="spellStart"/>
      <w:r w:rsidRPr="00253AFD">
        <w:rPr>
          <w:rFonts w:ascii="FrankRuehl" w:eastAsia="Times New Roman" w:hAnsi="FrankRuehl" w:cs="FrankRuehl"/>
          <w:color w:val="1B1C1D"/>
          <w:sz w:val="28"/>
          <w:szCs w:val="28"/>
          <w:rtl/>
        </w:rPr>
        <w:t>חוצת</w:t>
      </w:r>
      <w:proofErr w:type="spellEnd"/>
      <w:r w:rsidRPr="00253AFD">
        <w:rPr>
          <w:rFonts w:ascii="FrankRuehl" w:eastAsia="Times New Roman" w:hAnsi="FrankRuehl" w:cs="FrankRuehl"/>
          <w:color w:val="1B1C1D"/>
          <w:sz w:val="28"/>
          <w:szCs w:val="28"/>
          <w:rtl/>
        </w:rPr>
        <w:t xml:space="preserve"> מגזרים למעט במגזר החרדי. ברם, בהינתן ההנחות שהוצגו לעיל, ובעקבות ההשפעה על השיח הציבורי, דומה כי בעיה זו משפיעה למעשה על כלל אזרחי ישראל בנוסף לפלחים שצוינו לעיל.</w:t>
      </w:r>
    </w:p>
    <w:p w14:paraId="1CC4283C" w14:textId="77777777" w:rsidR="00253AFD" w:rsidRPr="00253AFD" w:rsidRDefault="00253AFD" w:rsidP="00253AFD">
      <w:pPr>
        <w:spacing w:before="100" w:beforeAutospacing="1" w:after="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הפתרון</w:t>
      </w:r>
    </w:p>
    <w:p w14:paraId="2C483886"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 xml:space="preserve">תנועת העמקה במקורות. התנועה תעורר רצון, ותעניק כלים להעמיק את הידע ביהדות, בעולם התורה, ארון הספרים היהודי, ואוצרות הרוח. כדי להעמיק את הזהות האישית, והקולקטיבית, וכדי לבסס שיח ציבורי מעמיק </w:t>
      </w:r>
      <w:r w:rsidRPr="00253AFD">
        <w:rPr>
          <w:rFonts w:ascii="FrankRuehl" w:eastAsia="Times New Roman" w:hAnsi="FrankRuehl" w:cs="FrankRuehl" w:hint="cs"/>
          <w:color w:val="1B1C1D"/>
          <w:sz w:val="28"/>
          <w:szCs w:val="28"/>
          <w:rtl/>
        </w:rPr>
        <w:t>המבוסס</w:t>
      </w:r>
      <w:bookmarkStart w:id="0" w:name="_GoBack"/>
      <w:bookmarkEnd w:id="0"/>
      <w:r w:rsidRPr="00253AFD">
        <w:rPr>
          <w:rFonts w:ascii="FrankRuehl" w:eastAsia="Times New Roman" w:hAnsi="FrankRuehl" w:cs="FrankRuehl"/>
          <w:color w:val="1B1C1D"/>
          <w:sz w:val="28"/>
          <w:szCs w:val="28"/>
          <w:rtl/>
        </w:rPr>
        <w:t xml:space="preserve"> על השורשים המשותפים שלנו.</w:t>
      </w:r>
    </w:p>
    <w:p w14:paraId="69AD4564" w14:textId="77777777" w:rsidR="00253AFD" w:rsidRPr="00253AFD" w:rsidRDefault="00253AFD" w:rsidP="00253AFD">
      <w:pPr>
        <w:spacing w:before="100" w:beforeAutospacing="1" w:after="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הדרך</w:t>
      </w:r>
    </w:p>
    <w:p w14:paraId="374C0FEE" w14:textId="77777777" w:rsidR="00253AFD" w:rsidRPr="00253AFD" w:rsidRDefault="00253AFD" w:rsidP="00253AFD">
      <w:pPr>
        <w:numPr>
          <w:ilvl w:val="0"/>
          <w:numId w:val="1"/>
        </w:numPr>
        <w:spacing w:before="100" w:beforeAutospacing="1" w:after="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שעה יהדות בשבוע:</w:t>
      </w:r>
      <w:r w:rsidRPr="00253AFD">
        <w:rPr>
          <w:rFonts w:ascii="FrankRuehl" w:eastAsia="Times New Roman" w:hAnsi="FrankRuehl" w:cs="FrankRuehl"/>
          <w:color w:val="1B1C1D"/>
          <w:sz w:val="28"/>
          <w:szCs w:val="28"/>
          <w:rtl/>
        </w:rPr>
        <w:t xml:space="preserve"> תן לנו שעה מחייך בשבוע, ותקבל אוצרות.</w:t>
      </w:r>
    </w:p>
    <w:p w14:paraId="7C0BE7F0" w14:textId="77777777" w:rsidR="00253AFD" w:rsidRPr="00253AFD" w:rsidRDefault="00253AFD" w:rsidP="00253AFD">
      <w:pPr>
        <w:numPr>
          <w:ilvl w:val="0"/>
          <w:numId w:val="1"/>
        </w:numPr>
        <w:spacing w:before="100" w:beforeAutospacing="1" w:after="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מתודה:</w:t>
      </w:r>
      <w:r w:rsidRPr="00253AFD">
        <w:rPr>
          <w:rFonts w:ascii="FrankRuehl" w:eastAsia="Times New Roman" w:hAnsi="FrankRuehl" w:cs="FrankRuehl"/>
          <w:color w:val="1B1C1D"/>
          <w:sz w:val="28"/>
          <w:szCs w:val="28"/>
          <w:rtl/>
        </w:rPr>
        <w:t xml:space="preserve"> מחקר מקיף בקרב קהילות יהודיות על המקורות החשובים ביותר לגיבוש הזהות, המנהגים, הטקסים, האידאות והרעיונות. כך נוכל לקבל מאגר ידע ונתונים מעמיק, וגם להתחיל מבסיס שנוגע לאנשים עצמם עם דוגמאות של אנשים חיים סביב המקורות הללו.</w:t>
      </w:r>
    </w:p>
    <w:p w14:paraId="6FCDD127" w14:textId="77777777" w:rsidR="00253AFD" w:rsidRPr="00253AFD" w:rsidRDefault="00253AFD" w:rsidP="00253AFD">
      <w:pPr>
        <w:numPr>
          <w:ilvl w:val="0"/>
          <w:numId w:val="1"/>
        </w:numPr>
        <w:spacing w:before="100" w:beforeAutospacing="1" w:after="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בניית פלטפורמה דיגיטלית:</w:t>
      </w:r>
      <w:r w:rsidRPr="00253AFD">
        <w:rPr>
          <w:rFonts w:ascii="FrankRuehl" w:eastAsia="Times New Roman" w:hAnsi="FrankRuehl" w:cs="FrankRuehl"/>
          <w:color w:val="1B1C1D"/>
          <w:sz w:val="28"/>
          <w:szCs w:val="28"/>
          <w:rtl/>
        </w:rPr>
        <w:t xml:space="preserve"> על בסיס המחקר ומעבר לו, תוקם פלטפורמה דיגיטלית הממופה לפי נושאים ותמות, שתציע אפשרות להעמיק במקורות ובשורשים סביבם. זאת לצד מיפוי שורשים של המחלוקות שלנו, כדי להעמיק במקורות שלהן יחד.</w:t>
      </w:r>
    </w:p>
    <w:p w14:paraId="45DDC5D2" w14:textId="77777777" w:rsidR="00253AFD" w:rsidRPr="00253AFD" w:rsidRDefault="00253AFD" w:rsidP="00253AFD">
      <w:pPr>
        <w:numPr>
          <w:ilvl w:val="0"/>
          <w:numId w:val="1"/>
        </w:numPr>
        <w:spacing w:before="100" w:beforeAutospacing="1" w:after="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lastRenderedPageBreak/>
        <w:t>מרכיבים נוספים:</w:t>
      </w:r>
      <w:r w:rsidRPr="00253AFD">
        <w:rPr>
          <w:rFonts w:ascii="FrankRuehl" w:eastAsia="Times New Roman" w:hAnsi="FrankRuehl" w:cs="FrankRuehl"/>
          <w:color w:val="1B1C1D"/>
          <w:sz w:val="28"/>
          <w:szCs w:val="28"/>
          <w:rtl/>
        </w:rPr>
        <w:t xml:space="preserve"> הפלטפורמה תלווה גם באירועים חיים, בקהילות תומכות, וכמובן בקמפיין המעודד השתתפות. חלק מהתנועה תעודד אנשים לצאת למסע מעמיק במקורות, אך עם אומץ וכנות. מסע שמזמין את כולנו להשתנות יחד.</w:t>
      </w:r>
    </w:p>
    <w:p w14:paraId="67FADE7B" w14:textId="77777777" w:rsidR="00253AFD" w:rsidRPr="00253AFD" w:rsidRDefault="00253AFD" w:rsidP="00253AFD">
      <w:pPr>
        <w:spacing w:before="100" w:beforeAutospacing="1" w:after="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הייחודיות</w:t>
      </w:r>
    </w:p>
    <w:p w14:paraId="1E3602AE" w14:textId="77777777" w:rsidR="00253AFD" w:rsidRPr="00253AFD" w:rsidRDefault="00253AFD" w:rsidP="00253AFD">
      <w:pPr>
        <w:spacing w:before="100" w:beforeAutospacing="1" w:after="240" w:line="360" w:lineRule="auto"/>
        <w:jc w:val="both"/>
        <w:rPr>
          <w:rFonts w:ascii="FrankRuehl" w:eastAsia="Times New Roman" w:hAnsi="FrankRuehl" w:cs="FrankRuehl"/>
          <w:color w:val="1B1C1D"/>
          <w:sz w:val="28"/>
          <w:szCs w:val="28"/>
          <w:rtl/>
        </w:rPr>
      </w:pPr>
      <w:proofErr w:type="spellStart"/>
      <w:r w:rsidRPr="00253AFD">
        <w:rPr>
          <w:rFonts w:ascii="FrankRuehl" w:eastAsia="Times New Roman" w:hAnsi="FrankRuehl" w:cs="FrankRuehl"/>
          <w:color w:val="1B1C1D"/>
          <w:sz w:val="28"/>
          <w:szCs w:val="28"/>
          <w:rtl/>
        </w:rPr>
        <w:t>הכל</w:t>
      </w:r>
      <w:proofErr w:type="spellEnd"/>
      <w:r w:rsidRPr="00253AFD">
        <w:rPr>
          <w:rFonts w:ascii="FrankRuehl" w:eastAsia="Times New Roman" w:hAnsi="FrankRuehl" w:cs="FrankRuehl"/>
          <w:color w:val="1B1C1D"/>
          <w:sz w:val="28"/>
          <w:szCs w:val="28"/>
          <w:rtl/>
        </w:rPr>
        <w:t xml:space="preserve"> מרצון חופשי. קח את ההעמקה שלך במקורות לאן שתרצה, אף אחד לא יכפה עליך דבר. ברם, אם אתה רציני, תיקח את זה למקום שאתה יכול לבסס אותו בכנות על המקורות הללו. כך נהגו ישראל מאז ומעולם במתודה הפרשנית שלהם, וכך נוכל להעמיק את הדיון כמה רמות מעל למקומו הנוכחי.</w:t>
      </w:r>
    </w:p>
    <w:p w14:paraId="19119991" w14:textId="77777777" w:rsidR="00253AFD" w:rsidRPr="00253AFD" w:rsidRDefault="00253AFD" w:rsidP="00253AFD">
      <w:pPr>
        <w:spacing w:before="100" w:beforeAutospacing="1" w:after="0" w:line="360" w:lineRule="auto"/>
        <w:jc w:val="both"/>
        <w:rPr>
          <w:rFonts w:ascii="FrankRuehl" w:eastAsia="Times New Roman" w:hAnsi="FrankRuehl" w:cs="FrankRuehl"/>
          <w:color w:val="1B1C1D"/>
          <w:sz w:val="28"/>
          <w:szCs w:val="28"/>
          <w:rtl/>
        </w:rPr>
      </w:pPr>
      <w:r w:rsidRPr="00253AFD">
        <w:rPr>
          <w:rFonts w:ascii="FrankRuehl" w:eastAsia="Times New Roman" w:hAnsi="FrankRuehl" w:cs="FrankRuehl"/>
          <w:b/>
          <w:bCs/>
          <w:color w:val="1B1C1D"/>
          <w:sz w:val="28"/>
          <w:szCs w:val="28"/>
          <w:bdr w:val="none" w:sz="0" w:space="0" w:color="auto" w:frame="1"/>
          <w:rtl/>
        </w:rPr>
        <w:t>שותפים פוטנציאליים</w:t>
      </w:r>
    </w:p>
    <w:p w14:paraId="533D06AC" w14:textId="77777777" w:rsidR="00253AFD" w:rsidRPr="00253AFD" w:rsidRDefault="00253AFD" w:rsidP="00253AFD">
      <w:pPr>
        <w:numPr>
          <w:ilvl w:val="0"/>
          <w:numId w:val="2"/>
        </w:numPr>
        <w:spacing w:before="100" w:beforeAutospacing="1" w:after="120" w:line="360" w:lineRule="auto"/>
        <w:ind w:left="0"/>
        <w:jc w:val="both"/>
        <w:rPr>
          <w:rFonts w:ascii="FrankRuehl" w:eastAsia="Times New Roman" w:hAnsi="FrankRuehl" w:cs="FrankRuehl"/>
          <w:color w:val="1B1C1D"/>
          <w:sz w:val="28"/>
          <w:szCs w:val="28"/>
          <w:rtl/>
        </w:rPr>
      </w:pPr>
      <w:proofErr w:type="spellStart"/>
      <w:r w:rsidRPr="00253AFD">
        <w:rPr>
          <w:rFonts w:ascii="FrankRuehl" w:eastAsia="Times New Roman" w:hAnsi="FrankRuehl" w:cs="FrankRuehl"/>
          <w:color w:val="1B1C1D"/>
          <w:sz w:val="28"/>
          <w:szCs w:val="28"/>
          <w:rtl/>
        </w:rPr>
        <w:t>ספריא</w:t>
      </w:r>
      <w:proofErr w:type="spellEnd"/>
    </w:p>
    <w:p w14:paraId="6735DAC2" w14:textId="77777777" w:rsidR="00253AFD" w:rsidRPr="00253AFD" w:rsidRDefault="00253AFD" w:rsidP="00253AFD">
      <w:pPr>
        <w:numPr>
          <w:ilvl w:val="0"/>
          <w:numId w:val="2"/>
        </w:numPr>
        <w:spacing w:before="100" w:beforeAutospacing="1" w:after="12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929</w:t>
      </w:r>
    </w:p>
    <w:p w14:paraId="1816425C" w14:textId="77777777" w:rsidR="00253AFD" w:rsidRPr="00253AFD" w:rsidRDefault="00253AFD" w:rsidP="00253AFD">
      <w:pPr>
        <w:numPr>
          <w:ilvl w:val="0"/>
          <w:numId w:val="2"/>
        </w:numPr>
        <w:spacing w:before="100" w:beforeAutospacing="1" w:after="12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 xml:space="preserve">מכון </w:t>
      </w:r>
      <w:proofErr w:type="spellStart"/>
      <w:r w:rsidRPr="00253AFD">
        <w:rPr>
          <w:rFonts w:ascii="FrankRuehl" w:eastAsia="Times New Roman" w:hAnsi="FrankRuehl" w:cs="FrankRuehl"/>
          <w:color w:val="1B1C1D"/>
          <w:sz w:val="28"/>
          <w:szCs w:val="28"/>
          <w:rtl/>
        </w:rPr>
        <w:t>שטיינזלץ</w:t>
      </w:r>
      <w:proofErr w:type="spellEnd"/>
    </w:p>
    <w:p w14:paraId="28FC7CE5" w14:textId="77777777" w:rsidR="00253AFD" w:rsidRPr="00253AFD" w:rsidRDefault="00253AFD" w:rsidP="00253AFD">
      <w:pPr>
        <w:numPr>
          <w:ilvl w:val="0"/>
          <w:numId w:val="2"/>
        </w:numPr>
        <w:spacing w:before="100" w:beforeAutospacing="1" w:after="12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Pr>
        <w:t>The Jewish Educational Project</w:t>
      </w:r>
    </w:p>
    <w:p w14:paraId="79501CE1" w14:textId="77777777" w:rsidR="00253AFD" w:rsidRPr="00253AFD" w:rsidRDefault="00253AFD" w:rsidP="00253AFD">
      <w:pPr>
        <w:numPr>
          <w:ilvl w:val="0"/>
          <w:numId w:val="2"/>
        </w:numPr>
        <w:spacing w:before="100" w:beforeAutospacing="1" w:after="120" w:line="360" w:lineRule="auto"/>
        <w:ind w:left="0"/>
        <w:jc w:val="both"/>
        <w:rPr>
          <w:rFonts w:ascii="FrankRuehl" w:eastAsia="Times New Roman" w:hAnsi="FrankRuehl" w:cs="FrankRuehl"/>
          <w:color w:val="1B1C1D"/>
          <w:sz w:val="28"/>
          <w:szCs w:val="28"/>
          <w:rtl/>
        </w:rPr>
      </w:pPr>
      <w:r w:rsidRPr="00253AFD">
        <w:rPr>
          <w:rFonts w:ascii="FrankRuehl" w:eastAsia="Times New Roman" w:hAnsi="FrankRuehl" w:cs="FrankRuehl"/>
          <w:color w:val="1B1C1D"/>
          <w:sz w:val="28"/>
          <w:szCs w:val="28"/>
          <w:rtl/>
        </w:rPr>
        <w:t>הרשות לזהות יהודית במשרד ראש הממשלה</w:t>
      </w:r>
    </w:p>
    <w:p w14:paraId="1170CCB7" w14:textId="77777777" w:rsidR="009B19E8" w:rsidRPr="00253AFD" w:rsidRDefault="00253AFD" w:rsidP="00253AFD">
      <w:pPr>
        <w:spacing w:line="360" w:lineRule="auto"/>
        <w:jc w:val="both"/>
        <w:rPr>
          <w:rFonts w:ascii="FrankRuehl" w:hAnsi="FrankRuehl" w:cs="FrankRuehl"/>
          <w:sz w:val="24"/>
          <w:szCs w:val="24"/>
        </w:rPr>
      </w:pPr>
    </w:p>
    <w:sectPr w:rsidR="009B19E8" w:rsidRPr="00253AFD" w:rsidSect="003C2D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E20DF"/>
    <w:multiLevelType w:val="multilevel"/>
    <w:tmpl w:val="81B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00892"/>
    <w:multiLevelType w:val="multilevel"/>
    <w:tmpl w:val="074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FD"/>
    <w:rsid w:val="00253AFD"/>
    <w:rsid w:val="003C2DEB"/>
    <w:rsid w:val="00C70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F692"/>
  <w15:chartTrackingRefBased/>
  <w15:docId w15:val="{DCE14A1F-B637-4F5A-8D3B-3852C255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3">
    <w:name w:val="heading 3"/>
    <w:basedOn w:val="a"/>
    <w:link w:val="30"/>
    <w:uiPriority w:val="9"/>
    <w:qFormat/>
    <w:rsid w:val="00253AF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253AFD"/>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253AF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0ADAA3C04E8584FADC2486850DD8D3B" ma:contentTypeVersion="16" ma:contentTypeDescription="צור מסמך חדש." ma:contentTypeScope="" ma:versionID="220d9fcfae1603487a6df0166ee2f633">
  <xsd:schema xmlns:xsd="http://www.w3.org/2001/XMLSchema" xmlns:xs="http://www.w3.org/2001/XMLSchema" xmlns:p="http://schemas.microsoft.com/office/2006/metadata/properties" xmlns:ns3="0005e9f3-0c49-440f-87b4-a50c0dec95be" xmlns:ns4="445ac3fc-a110-451e-bf17-3410d379a13e" targetNamespace="http://schemas.microsoft.com/office/2006/metadata/properties" ma:root="true" ma:fieldsID="9e07ba78ca54f3c07f7db025defe508d" ns3:_="" ns4:_="">
    <xsd:import namespace="0005e9f3-0c49-440f-87b4-a50c0dec95be"/>
    <xsd:import namespace="445ac3fc-a110-451e-bf17-3410d379a1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5e9f3-0c49-440f-87b4-a50c0dec9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5ac3fc-a110-451e-bf17-3410d379a13e" elementFormDefault="qualified">
    <xsd:import namespace="http://schemas.microsoft.com/office/2006/documentManagement/types"/>
    <xsd:import namespace="http://schemas.microsoft.com/office/infopath/2007/PartnerControls"/>
    <xsd:element name="SharedWithUsers" ma:index="16"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משותף עם פרטים" ma:internalName="SharedWithDetails" ma:readOnly="true">
      <xsd:simpleType>
        <xsd:restriction base="dms:Note">
          <xsd:maxLength value="255"/>
        </xsd:restriction>
      </xsd:simpleType>
    </xsd:element>
    <xsd:element name="SharingHintHash" ma:index="18"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05e9f3-0c49-440f-87b4-a50c0dec95be" xsi:nil="true"/>
  </documentManagement>
</p:properties>
</file>

<file path=customXml/itemProps1.xml><?xml version="1.0" encoding="utf-8"?>
<ds:datastoreItem xmlns:ds="http://schemas.openxmlformats.org/officeDocument/2006/customXml" ds:itemID="{1624B840-037E-4689-B88A-7C216DB61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5e9f3-0c49-440f-87b4-a50c0dec95be"/>
    <ds:schemaRef ds:uri="445ac3fc-a110-451e-bf17-3410d379a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C909E-3FDA-40E4-A3BF-90651F0A0B32}">
  <ds:schemaRefs>
    <ds:schemaRef ds:uri="http://schemas.microsoft.com/sharepoint/v3/contenttype/forms"/>
  </ds:schemaRefs>
</ds:datastoreItem>
</file>

<file path=customXml/itemProps3.xml><?xml version="1.0" encoding="utf-8"?>
<ds:datastoreItem xmlns:ds="http://schemas.openxmlformats.org/officeDocument/2006/customXml" ds:itemID="{7D6DF42C-BC31-441E-B6BD-7136E71D4177}">
  <ds:schemaRefs>
    <ds:schemaRef ds:uri="http://schemas.microsoft.com/office/2006/documentManagement/types"/>
    <ds:schemaRef ds:uri="http://purl.org/dc/elements/1.1/"/>
    <ds:schemaRef ds:uri="445ac3fc-a110-451e-bf17-3410d379a13e"/>
    <ds:schemaRef ds:uri="0005e9f3-0c49-440f-87b4-a50c0dec95b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755</Words>
  <Characters>3775</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Halperin</dc:creator>
  <cp:keywords/>
  <dc:description/>
  <cp:lastModifiedBy>Yotam Halperin</cp:lastModifiedBy>
  <cp:revision>1</cp:revision>
  <dcterms:created xsi:type="dcterms:W3CDTF">2025-08-21T12:57:00Z</dcterms:created>
  <dcterms:modified xsi:type="dcterms:W3CDTF">2025-08-21T12:59:00Z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0x01010050ADAA3C04E8584FADC2486850DD8D3B</vt:lpwstr>
  </property>
</Properties>
</file>