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Project Management and Execution Document</w:t>
      </w:r>
    </w:p>
    <w:p>
      <w:pPr>
        <w:pStyle w:val="Heading3"/>
        <w:pStyle w:val="MdHeading3"/>
      </w:pPr>
      <w:r>
        <w:t xml:space="preserve">1. Work Breakdown Structure (WBS)</w:t>
      </w:r>
    </w:p>
    <w:p>
      <w:pPr>
        <w:pStyle w:val="MdParagraph"/>
      </w:pPr>
      <w:r>
        <w:t xml:space="preserve">The project is systematically structured into five distinct phases, designed to be executed over a 12-month timeline. Each phase has specific tasks, durations, and key deliverables, ensuring a structured approach to development and deployment.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Requirement Finalization &amp; Component Procurement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Month 1-2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SRS, SAD, BOM (Bill of Materials).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Hardware Integration &amp; Edge OS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Month 3-4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Sensor Kit Prototype, ROS2 Integration.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Model Development &amp; Cloud 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Month 5-7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Trained ML Models, Firebase Integration.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Digital Twin Dashboard &amp; Localization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Month 8-9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Web Dashboard, Bhashini Integration.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Phase 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Pilot Testing &amp; Field Trials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Month 10-12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Field Test Report, Final MVP.</w:t>
            </w:r>
          </w:p>
        </w:tc>
      </w:tr>
    </w:tbl>
    <w:p>
      <w:pPr>
        <w:pStyle w:val="Heading3"/>
        <w:pStyle w:val="MdHeading3"/>
      </w:pPr>
      <w:r>
        <w:t xml:space="preserve">2. Risk Register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Mitigation Strategy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Hardware Failure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industrial-grade (IP65) enclosures and redundant sensors.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Connectivity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Implement local storage (Edge caching) and LTE failover.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Model 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Start with threshold-based alerts and transition to ML as data grows.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 Adoption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Provide voice alerts in local languages and simplified visual UI.</w:t>
            </w:r>
          </w:p>
        </w:tc>
      </w:tr>
    </w:tbl>
    <w:p>
      <w:pPr>
        <w:pStyle w:val="Heading3"/>
        <w:pStyle w:val="MdHeading3"/>
      </w:pPr>
      <w:r>
        <w:t xml:space="preserve">3. Test Plan</w:t>
      </w:r>
    </w:p>
    <w:p>
      <w:pPr>
        <w:pStyle w:val="MdParagraph"/>
      </w:pPr>
      <w:r>
        <w:t xml:space="preserve">The testing strategy encompasses multiple levels to ensure the robustness and reliability of the system: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Unit Testing</w:t>
      </w:r>
      <w:r>
        <w:t xml:space="preserve">: This involves isolated testing of individual software components, such as sensor drivers and API endpoints, to verify their correct functionality.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Testing</w:t>
      </w:r>
      <w:r>
        <w:t xml:space="preserve">: Focuses on verifying the interactions between different modules, for example, ensuring that ROS2 nodes communicate correctly with the Cloud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Accuracy Testing</w:t>
      </w:r>
      <w:r>
        <w:t xml:space="preserve">: Machine learning model predictions are validated against known fault datasets and real-world scenarios to ensure high predictive accuracy.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Acceptance Testing (UAT)</w:t>
      </w:r>
      <w:r>
        <w:t xml:space="preserve">: Conducted with actual MSME operators, UAT aims to gather feedback on the user interface, system usability, and overall alignment with operational needs.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Deployment Plan</w:t>
      </w:r>
    </w:p>
    <w:p>
      <w:pPr>
        <w:pStyle w:val="MdParagraph"/>
      </w:pPr>
      <w:r>
        <w:t xml:space="preserve">The deployment process is designed to be systematic and user-centric, ensuring smooth integration into existing MSME operations: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Site Survey</w:t>
      </w:r>
      <w:r>
        <w:t xml:space="preserve">: A thorough assessment of the MSME facility is conducted to identify critical machinery, optimal sensor mounting points, and environmental considerations.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Installation</w:t>
      </w:r>
      <w:r>
        <w:t xml:space="preserve">: The IP65-rated sensor kit and the Jetson Gateway are physically mounted and connected to the target machinery.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Calibration</w:t>
      </w:r>
      <w:r>
        <w:t xml:space="preserve">: The system undergoes an initial 48-hour calibration period to establish a baseline of "Normal" operating states for each monitored machine.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Activation</w:t>
      </w:r>
      <w:r>
        <w:t xml:space="preserve">: Upon successful calibration, the AI monitoring system is activated, and access to the operator dashboard is provided to the MSME personnel.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Training</w:t>
      </w:r>
      <w:r>
        <w:t xml:space="preserve">: A comprehensive half-day workshop is conducted for factory staff, focusing on how to interpret alerts, utilize the digital twin dashboard, and understand the system's functionalities.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Budget Summary (Estimated)</w:t>
      </w:r>
    </w:p>
    <w:p>
      <w:pPr>
        <w:pStyle w:val="MdParagraph"/>
      </w:pPr>
      <w:r>
        <w:t xml:space="preserve">Based on the reference document, the total estimated cost is </w:t>
      </w:r>
      <w:r>
        <w:rPr>
          <w:rStyle w:val="MdStrong"/>
          <w:b/>
          <w:bCs/>
        </w:rPr>
        <w:t xml:space="preserve">₹10,20,000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Cost (₹)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Hardware Costs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2,50,000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Software &amp; AI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3,20,000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Prototyping &amp; Testing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2,40,000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Contingency &amp; Operations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2,10,000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10,20,000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2026-06-04T15:27:01.728Z</dcterms:created>
  <dcterms:modified xsi:type="dcterms:W3CDTF">2026-06-04T15:27:01.728Z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