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94E"/>
          <w:sz w:val="50"/>
        </w:rPr>
        <w:t>CrediLens MSME</w:t>
      </w:r>
    </w:p>
    <w:p>
      <w:pPr>
        <w:jc w:val="center"/>
      </w:pPr>
      <w:r>
        <w:rPr>
          <w:b/>
          <w:color w:val="2A5FAA"/>
          <w:sz w:val="26"/>
        </w:rPr>
        <w:t>AI-Powered Financial Health Card for Credit-Invisible MSMEs</w:t>
      </w:r>
    </w:p>
    <w:p>
      <w:pPr>
        <w:jc w:val="center"/>
      </w:pPr>
      <w:r>
        <w:rPr>
          <w:color w:val="585858"/>
          <w:sz w:val="20"/>
        </w:rPr>
        <w:t>IDBI Innovate 2026 | Track 03: Financial Inclusion, Digital Lending &amp; Credit Decisioning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AF2FF"/>
            <w:vAlign w:val="center"/>
          </w:tcPr>
          <w:p>
            <w:pPr>
              <w:jc w:val="left"/>
            </w:pPr>
            <w:r/>
            <w:r>
              <w:rPr>
                <w:b/>
                <w:color w:val="0F294E"/>
                <w:sz w:val="18"/>
              </w:rPr>
              <w:t>Alternate Data</w:t>
            </w:r>
          </w:p>
        </w:tc>
        <w:tc>
          <w:tcPr>
            <w:tcW w:type="dxa" w:w="3456"/>
            <w:shd w:fill="EAF2FF"/>
            <w:vAlign w:val="center"/>
          </w:tcPr>
          <w:p>
            <w:pPr>
              <w:jc w:val="left"/>
            </w:pPr>
            <w:r/>
            <w:r>
              <w:rPr>
                <w:b/>
                <w:color w:val="0F294E"/>
                <w:sz w:val="18"/>
              </w:rPr>
              <w:t>Explainable AI Score</w:t>
            </w:r>
          </w:p>
        </w:tc>
        <w:tc>
          <w:tcPr>
            <w:tcW w:type="dxa" w:w="3456"/>
            <w:shd w:fill="EAF2FF"/>
            <w:vAlign w:val="center"/>
          </w:tcPr>
          <w:p>
            <w:pPr>
              <w:jc w:val="left"/>
            </w:pPr>
            <w:r/>
            <w:r>
              <w:rPr>
                <w:b/>
                <w:color w:val="0F294E"/>
                <w:sz w:val="18"/>
              </w:rPr>
              <w:t>Credit Decision Support</w:t>
            </w:r>
          </w:p>
        </w:tc>
      </w:tr>
    </w:tbl>
    <w:p/>
    <w:p>
      <w:pPr>
        <w:pStyle w:val="Heading1"/>
      </w:pPr>
      <w:r>
        <w:rPr>
          <w:b/>
          <w:color w:val="0F294E"/>
          <w:sz w:val="36"/>
        </w:rPr>
        <w:t>1. Executive Summary</w:t>
      </w:r>
    </w:p>
    <w:p>
      <w:pPr>
        <w:spacing w:after="120" w:line="259" w:lineRule="auto"/>
      </w:pPr>
      <w:r>
        <w:rPr>
          <w:color w:val="282828"/>
          <w:sz w:val="21"/>
        </w:rPr>
        <w:t>CrediLens MSME is a proof-of-concept solution that helps banks assess New-to-Credit and New-to-Bank MSMEs using alternate digital data instead of depending only on traditional financial documents. The solution converts GST-like, UPI-like, Account Aggregator-style bank transaction, EPFO-like payroll, invoice, and repayment signals into a unified Financial Health Card for faster, more inclusive, and more explainable credit decisioning.</w:t>
      </w:r>
    </w:p>
    <w:p>
      <w:pPr>
        <w:spacing w:after="120" w:line="259" w:lineRule="auto"/>
      </w:pPr>
      <w:r>
        <w:rPr>
          <w:color w:val="282828"/>
          <w:sz w:val="21"/>
        </w:rPr>
        <w:t>The POC demonstrates how a bank officer can view a multidimensional score, risk category, credit readiness, strengths, early warning risks, and a recommended lending action for each MSME. The output is designed to support near real-time digital lending journeys and is architected to be compatible with AA, ULI, and OCEN-style ecosystem flows.</w:t>
      </w:r>
    </w:p>
    <w:p>
      <w:pPr>
        <w:pStyle w:val="Heading1"/>
      </w:pPr>
      <w:r>
        <w:rPr>
          <w:b/>
          <w:color w:val="0F294E"/>
          <w:sz w:val="36"/>
        </w:rPr>
        <w:t>2. Problem Understanding</w:t>
      </w:r>
    </w:p>
    <w:p>
      <w:pPr>
        <w:spacing w:after="120" w:line="259" w:lineRule="auto"/>
      </w:pPr>
      <w:r>
        <w:rPr>
          <w:color w:val="282828"/>
          <w:sz w:val="21"/>
        </w:rPr>
        <w:t>Many MSMEs are financially active but remain credit-invisible because they do not maintain audited statements, formal balance sheets, detailed profit-and-loss documents, or strong bureau history. This creates a gap between actual business health and traditional credit evaluation.</w:t>
      </w:r>
    </w:p>
    <w:p>
      <w:pPr>
        <w:pStyle w:val="ListBullet"/>
        <w:spacing w:after="60"/>
      </w:pPr>
      <w:r>
        <w:rPr>
          <w:sz w:val="20"/>
        </w:rPr>
        <w:t>High rejection of viable MSME borrowers due to thin or missing traditional documents.</w:t>
      </w:r>
    </w:p>
    <w:p>
      <w:pPr>
        <w:pStyle w:val="ListBullet"/>
        <w:spacing w:after="60"/>
      </w:pPr>
      <w:r>
        <w:rPr>
          <w:sz w:val="20"/>
        </w:rPr>
        <w:t>Limited visibility into day-to-day business cash flow, digital payments, compliance behavior, and payroll stability.</w:t>
      </w:r>
    </w:p>
    <w:p>
      <w:pPr>
        <w:pStyle w:val="ListBullet"/>
        <w:spacing w:after="60"/>
      </w:pPr>
      <w:r>
        <w:rPr>
          <w:sz w:val="20"/>
        </w:rPr>
        <w:t>Manual and document-heavy underwriting creates slower onboarding and inconsistent assessment.</w:t>
      </w:r>
    </w:p>
    <w:p>
      <w:pPr>
        <w:pStyle w:val="ListBullet"/>
        <w:spacing w:after="60"/>
      </w:pPr>
      <w:r>
        <w:rPr>
          <w:sz w:val="20"/>
        </w:rPr>
        <w:t>Banks miss opportunities to diversify their MSME portfolio while maintaining risk quality.</w:t>
      </w:r>
    </w:p>
    <w:p>
      <w:pPr>
        <w:pStyle w:val="Heading1"/>
      </w:pPr>
      <w:r>
        <w:rPr>
          <w:b/>
          <w:color w:val="0F294E"/>
          <w:sz w:val="36"/>
        </w:rPr>
        <w:t>3. Proposed Solution</w:t>
      </w:r>
    </w:p>
    <w:p>
      <w:pPr>
        <w:spacing w:after="120" w:line="259" w:lineRule="auto"/>
      </w:pPr>
      <w:r>
        <w:rPr>
          <w:color w:val="282828"/>
          <w:sz w:val="21"/>
        </w:rPr>
        <w:t>CrediLens MSME creates an AI-powered Financial Health Card that brings fragmented alternate data into one credit intelligence layer. Instead of giving only an approve/reject output, the platform explains the financial condition of the MSME and recommends the most suitable next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294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184"/>
            <w:shd w:fill="0F294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/>
                <w:color w:val="0F294E"/>
                <w:sz w:val="18"/>
              </w:rPr>
              <w:t>Alternate Data Layer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Simulates GST, UPI, AA-bank statement, EPFO/payroll, invoice, and repayment signals.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/>
                <w:color w:val="0F294E"/>
                <w:sz w:val="18"/>
              </w:rPr>
              <w:t>Feature Engineering Layer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Transforms raw signals into meaningful indicators such as volatility, growth, bounce frequency, repayment discipline, and compliance consistency.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/>
                <w:color w:val="0F294E"/>
                <w:sz w:val="18"/>
              </w:rPr>
              <w:t>AI/ML Scoring Engine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Generates an overall Financial Health Score and component-level health scores.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/>
                <w:color w:val="0F294E"/>
                <w:sz w:val="18"/>
              </w:rPr>
              <w:t>Explainability Layer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Highlights the main reasons behind the score, including positive drivers and risk drivers.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/>
                <w:color w:val="0F294E"/>
                <w:sz w:val="18"/>
              </w:rPr>
              <w:t>Decision Support Layer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Suggests approve, manual review, request more data, reject, or monitor based on score and risk pattern.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/>
                <w:color w:val="0F294E"/>
                <w:sz w:val="18"/>
              </w:rPr>
              <w:t>Dashboard Layer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Displays the Financial Health Card in a simple bank-officer-friendly interface.</w:t>
            </w:r>
          </w:p>
        </w:tc>
      </w:tr>
    </w:tbl>
    <w:p/>
    <w:p>
      <w:pPr>
        <w:pStyle w:val="Heading1"/>
      </w:pPr>
      <w:r>
        <w:rPr>
          <w:b/>
          <w:color w:val="0F294E"/>
          <w:sz w:val="36"/>
        </w:rPr>
        <w:t>4. Financial Health Card Output</w:t>
      </w:r>
    </w:p>
    <w:p>
      <w:pPr>
        <w:spacing w:after="120" w:line="259" w:lineRule="auto"/>
      </w:pPr>
      <w:r>
        <w:rPr>
          <w:color w:val="282828"/>
          <w:sz w:val="21"/>
        </w:rPr>
        <w:t>The POC produces a single view that helps a credit officer understand an MSME quickly and consistently.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294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3456"/>
            <w:shd w:fill="0F294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3456"/>
            <w:shd w:fill="0F294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Banking Value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/>
                <w:color w:val="0F294E"/>
                <w:sz w:val="17"/>
              </w:rPr>
              <w:t>Overall Score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78/100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Quick credit-readiness summary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/>
                <w:color w:val="0F294E"/>
                <w:sz w:val="17"/>
              </w:rPr>
              <w:t>Risk Category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Low / Medium / High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Risk-based prioritization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/>
                <w:color w:val="0F294E"/>
                <w:sz w:val="17"/>
              </w:rPr>
              <w:t>Component Scores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Cash flow, UPI, GST, repayment, payroll, growth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Multidimensional assessment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/>
                <w:color w:val="0F294E"/>
                <w:sz w:val="17"/>
              </w:rPr>
              <w:t>Strengths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Stable inflows, regular GST, low bounces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Supports positive lending confidence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/>
                <w:color w:val="0F294E"/>
                <w:sz w:val="17"/>
              </w:rPr>
              <w:t>Risks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Volatile cash flow, rising expense ratio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Early warning visibility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/>
                <w:color w:val="0F294E"/>
                <w:sz w:val="17"/>
              </w:rPr>
              <w:t>Recommendation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Approve small working capital loan / manual review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Decision support for credit teams</w:t>
            </w:r>
          </w:p>
        </w:tc>
      </w:tr>
    </w:tbl>
    <w:p/>
    <w:p>
      <w:pPr>
        <w:pStyle w:val="Heading1"/>
      </w:pPr>
      <w:r>
        <w:rPr>
          <w:b/>
          <w:color w:val="0F294E"/>
          <w:sz w:val="36"/>
        </w:rPr>
        <w:t>5. AI/ML Approach</w:t>
      </w:r>
    </w:p>
    <w:p>
      <w:pPr>
        <w:spacing w:after="120" w:line="259" w:lineRule="auto"/>
      </w:pPr>
      <w:r>
        <w:rPr>
          <w:color w:val="282828"/>
          <w:sz w:val="21"/>
        </w:rPr>
        <w:t>For the POC, the model uses synthetic but realistic MSME profiles and engineered financial features. The solution can support both rule-based scoring for transparency and ML-based classification for risk segmentation.</w:t>
      </w:r>
    </w:p>
    <w:p>
      <w:pPr>
        <w:pStyle w:val="ListBullet"/>
        <w:spacing w:after="60"/>
      </w:pPr>
      <w:r>
        <w:rPr>
          <w:sz w:val="20"/>
        </w:rPr>
        <w:t>Feature groups: cash-flow stability, digital transaction strength, GST/compliance consistency, repayment discipline, payroll stability, invoice reliability, and business growth.</w:t>
      </w:r>
    </w:p>
    <w:p>
      <w:pPr>
        <w:pStyle w:val="ListBullet"/>
        <w:spacing w:after="60"/>
      </w:pPr>
      <w:r>
        <w:rPr>
          <w:sz w:val="20"/>
        </w:rPr>
        <w:t>Scoring: weighted multidimensional score from 0 to 100, mapped to Low, Medium, or High Risk.</w:t>
      </w:r>
    </w:p>
    <w:p>
      <w:pPr>
        <w:pStyle w:val="ListBullet"/>
        <w:spacing w:after="60"/>
      </w:pPr>
      <w:r>
        <w:rPr>
          <w:sz w:val="20"/>
        </w:rPr>
        <w:t>ML: classification model to predict risk category and support credit readiness decisioning.</w:t>
      </w:r>
    </w:p>
    <w:p>
      <w:pPr>
        <w:pStyle w:val="ListBullet"/>
        <w:spacing w:after="60"/>
      </w:pPr>
      <w:r>
        <w:rPr>
          <w:sz w:val="20"/>
        </w:rPr>
        <w:t>Explainability: top positive and negative factors are generated for every MSME profile.</w:t>
      </w:r>
    </w:p>
    <w:p>
      <w:pPr>
        <w:pStyle w:val="ListBullet"/>
        <w:spacing w:after="60"/>
      </w:pPr>
      <w:r>
        <w:rPr>
          <w:sz w:val="20"/>
        </w:rPr>
        <w:t>Output: score, breakdown, reasons, alerts, and suggested lending action.</w:t>
      </w:r>
    </w:p>
    <w:p>
      <w:pPr>
        <w:pStyle w:val="Heading1"/>
      </w:pPr>
      <w:r>
        <w:rPr>
          <w:b/>
          <w:color w:val="0F294E"/>
          <w:sz w:val="36"/>
        </w:rPr>
        <w:t>6. POC Architecture</w:t>
      </w:r>
    </w:p>
    <w:p>
      <w:pPr>
        <w:spacing w:after="120" w:line="259" w:lineRule="auto"/>
      </w:pPr>
      <w:r>
        <w:rPr>
          <w:color w:val="282828"/>
          <w:sz w:val="21"/>
        </w:rPr>
        <w:t>The POC is intentionally modular so that synthetic data can later be replaced by real consented data from ecosystem sources.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E8F7F6"/>
            <w:vAlign w:val="center"/>
          </w:tcPr>
          <w:p>
            <w:pPr>
              <w:jc w:val="left"/>
            </w:pPr>
            <w:r/>
            <w:r>
              <w:rPr>
                <w:b/>
                <w:color w:val="0F294E"/>
                <w:sz w:val="17"/>
              </w:rPr>
              <w:t>Data Sources</w:t>
            </w:r>
          </w:p>
        </w:tc>
        <w:tc>
          <w:tcPr>
            <w:tcW w:type="dxa" w:w="2074"/>
            <w:shd w:fill="EAF2FF"/>
            <w:vAlign w:val="center"/>
          </w:tcPr>
          <w:p>
            <w:pPr>
              <w:jc w:val="left"/>
            </w:pPr>
            <w:r/>
            <w:r>
              <w:rPr>
                <w:b/>
                <w:color w:val="0F294E"/>
                <w:sz w:val="17"/>
              </w:rPr>
              <w:t>Feature Store</w:t>
            </w:r>
          </w:p>
        </w:tc>
        <w:tc>
          <w:tcPr>
            <w:tcW w:type="dxa" w:w="2074"/>
            <w:shd w:fill="E8F7F6"/>
            <w:vAlign w:val="center"/>
          </w:tcPr>
          <w:p>
            <w:pPr>
              <w:jc w:val="left"/>
            </w:pPr>
            <w:r/>
            <w:r>
              <w:rPr>
                <w:b/>
                <w:color w:val="0F294E"/>
                <w:sz w:val="17"/>
              </w:rPr>
              <w:t>AI/ML Engine</w:t>
            </w:r>
          </w:p>
        </w:tc>
        <w:tc>
          <w:tcPr>
            <w:tcW w:type="dxa" w:w="2074"/>
            <w:shd w:fill="EAF2FF"/>
            <w:vAlign w:val="center"/>
          </w:tcPr>
          <w:p>
            <w:pPr>
              <w:jc w:val="left"/>
            </w:pPr>
            <w:r/>
            <w:r>
              <w:rPr>
                <w:b/>
                <w:color w:val="0F294E"/>
                <w:sz w:val="17"/>
              </w:rPr>
              <w:t>Explainability</w:t>
            </w:r>
          </w:p>
        </w:tc>
        <w:tc>
          <w:tcPr>
            <w:tcW w:type="dxa" w:w="2074"/>
            <w:shd w:fill="E8F7F6"/>
            <w:vAlign w:val="center"/>
          </w:tcPr>
          <w:p>
            <w:pPr>
              <w:jc w:val="left"/>
            </w:pPr>
            <w:r/>
            <w:r>
              <w:rPr>
                <w:b/>
                <w:color w:val="0F294E"/>
                <w:sz w:val="17"/>
              </w:rPr>
              <w:t>Health Card Dashboard</w:t>
            </w:r>
          </w:p>
        </w:tc>
      </w:tr>
    </w:tbl>
    <w:p>
      <w:pPr>
        <w:spacing w:after="80"/>
      </w:pPr>
      <w:r>
        <w:rPr>
          <w:i/>
          <w:color w:val="585858"/>
          <w:sz w:val="18"/>
        </w:rPr>
        <w:t>Ecosystem readiness: AA for consented financial data, ULI for standardized lending data access, and OCEN for digital credit journey orchestration.</w:t>
      </w:r>
    </w:p>
    <w:p>
      <w:pPr>
        <w:pStyle w:val="Heading1"/>
      </w:pPr>
      <w:r>
        <w:rPr>
          <w:b/>
          <w:color w:val="0F294E"/>
          <w:sz w:val="36"/>
        </w:rPr>
        <w:t>7. Innovation and Differentiation</w:t>
      </w:r>
    </w:p>
    <w:p>
      <w:pPr>
        <w:spacing w:after="120" w:line="259" w:lineRule="auto"/>
      </w:pPr>
      <w:r>
        <w:rPr>
          <w:color w:val="282828"/>
          <w:sz w:val="21"/>
        </w:rPr>
        <w:t>CrediLens MSME is different from a basic loan default model because it focuses on credit enablement for thin-file businesses, not only default prediction.</w:t>
      </w:r>
    </w:p>
    <w:p>
      <w:pPr>
        <w:pStyle w:val="ListBullet"/>
        <w:spacing w:after="60"/>
      </w:pPr>
      <w:r>
        <w:rPr>
          <w:sz w:val="20"/>
        </w:rPr>
        <w:t>Converts alternate data into a bank-friendly Financial Health Card.</w:t>
      </w:r>
    </w:p>
    <w:p>
      <w:pPr>
        <w:pStyle w:val="ListBullet"/>
        <w:spacing w:after="60"/>
      </w:pPr>
      <w:r>
        <w:rPr>
          <w:sz w:val="20"/>
        </w:rPr>
        <w:t>Provides score + explanation + recommendation, not a black-box decision.</w:t>
      </w:r>
    </w:p>
    <w:p>
      <w:pPr>
        <w:pStyle w:val="ListBullet"/>
        <w:spacing w:after="60"/>
      </w:pPr>
      <w:r>
        <w:rPr>
          <w:sz w:val="20"/>
        </w:rPr>
        <w:t>Supports inclusion by identifying viable NTC/NTB MSMEs even when formal documents are weak.</w:t>
      </w:r>
    </w:p>
    <w:p>
      <w:pPr>
        <w:pStyle w:val="ListBullet"/>
        <w:spacing w:after="60"/>
      </w:pPr>
      <w:r>
        <w:rPr>
          <w:sz w:val="20"/>
        </w:rPr>
        <w:t>Designed for near real-time assessment using API-ready architecture.</w:t>
      </w:r>
    </w:p>
    <w:p>
      <w:pPr>
        <w:pStyle w:val="ListBullet"/>
        <w:spacing w:after="60"/>
      </w:pPr>
      <w:r>
        <w:rPr>
          <w:sz w:val="20"/>
        </w:rPr>
        <w:t>Aligns with digital lending rails such as AA, ULI, and OCEN.</w:t>
      </w:r>
    </w:p>
    <w:p>
      <w:pPr>
        <w:pStyle w:val="Heading1"/>
      </w:pPr>
      <w:r>
        <w:rPr>
          <w:b/>
          <w:color w:val="0F294E"/>
          <w:sz w:val="36"/>
        </w:rPr>
        <w:t>8. POC Scope and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294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5184"/>
            <w:shd w:fill="0F294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/>
                <w:color w:val="0F294E"/>
                <w:sz w:val="18"/>
              </w:rPr>
              <w:t>Synthetic MSME Dataset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Sample profiles with GST-like, UPI-like, bank, payroll, invoice, and repayment indicators.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/>
                <w:color w:val="0F294E"/>
                <w:sz w:val="18"/>
              </w:rPr>
              <w:t>Scoring Engine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Computes overall score, component scores, risk category, and credit readiness.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/>
                <w:color w:val="0F294E"/>
                <w:sz w:val="18"/>
              </w:rPr>
              <w:t>Dashboard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Interactive Streamlit dashboard for bank officer view.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/>
                <w:color w:val="0F294E"/>
                <w:sz w:val="18"/>
              </w:rPr>
              <w:t>Explainability View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Shows strengths, risks, and top factors influencing the score.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/>
                <w:color w:val="0F294E"/>
                <w:sz w:val="18"/>
              </w:rPr>
              <w:t>Recommendation Engine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Suggests approve, manual review, request data, reject, or monitor.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/>
                <w:color w:val="0F294E"/>
                <w:sz w:val="18"/>
              </w:rPr>
              <w:t>GitHub Repository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Code, README, dataset sample, architecture, and run instructions.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/>
                <w:color w:val="0F294E"/>
                <w:sz w:val="18"/>
              </w:rPr>
              <w:t>Deployment Link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Live demo link for first-round evaluation.</w:t>
            </w:r>
          </w:p>
        </w:tc>
      </w:tr>
    </w:tbl>
    <w:p>
      <w:pPr>
        <w:pStyle w:val="Heading1"/>
      </w:pPr>
      <w:r>
        <w:rPr>
          <w:b/>
          <w:color w:val="0F294E"/>
          <w:sz w:val="36"/>
        </w:rPr>
        <w:t>9. Expected Impact</w:t>
      </w:r>
    </w:p>
    <w:p>
      <w:pPr>
        <w:pStyle w:val="ListBullet"/>
        <w:spacing w:after="60"/>
      </w:pPr>
      <w:r>
        <w:rPr>
          <w:sz w:val="20"/>
        </w:rPr>
        <w:t>Improves onboarding of credit-invisible MSMEs by using consented alternate data signals.</w:t>
      </w:r>
    </w:p>
    <w:p>
      <w:pPr>
        <w:pStyle w:val="ListBullet"/>
        <w:spacing w:after="60"/>
      </w:pPr>
      <w:r>
        <w:rPr>
          <w:sz w:val="20"/>
        </w:rPr>
        <w:t>Reduces manual evaluation effort and speeds up first-level credit assessment.</w:t>
      </w:r>
    </w:p>
    <w:p>
      <w:pPr>
        <w:pStyle w:val="ListBullet"/>
        <w:spacing w:after="60"/>
      </w:pPr>
      <w:r>
        <w:rPr>
          <w:sz w:val="20"/>
        </w:rPr>
        <w:t>Supports better portfolio quality through early warning risk indicators.</w:t>
      </w:r>
    </w:p>
    <w:p>
      <w:pPr>
        <w:pStyle w:val="ListBullet"/>
        <w:spacing w:after="60"/>
      </w:pPr>
      <w:r>
        <w:rPr>
          <w:sz w:val="20"/>
        </w:rPr>
        <w:t>Improves transparency by explaining why a business is considered healthy or risky.</w:t>
      </w:r>
    </w:p>
    <w:p>
      <w:pPr>
        <w:pStyle w:val="ListBullet"/>
        <w:spacing w:after="60"/>
      </w:pPr>
      <w:r>
        <w:rPr>
          <w:sz w:val="20"/>
        </w:rPr>
        <w:t>Helps banks expand MSME lending while maintaining risk discipline.</w:t>
      </w:r>
    </w:p>
    <w:p>
      <w:pPr>
        <w:pStyle w:val="Heading1"/>
      </w:pPr>
      <w:r>
        <w:rPr>
          <w:b/>
          <w:color w:val="0F294E"/>
          <w:sz w:val="36"/>
        </w:rPr>
        <w:t>10. Final Submission Summary</w:t>
      </w:r>
    </w:p>
    <w:p>
      <w:pPr>
        <w:spacing w:after="120" w:line="259" w:lineRule="auto"/>
      </w:pPr>
      <w:r>
        <w:rPr>
          <w:color w:val="282828"/>
          <w:sz w:val="21"/>
        </w:rPr>
        <w:t>CrediLens MSME demonstrates how alternate data and AI/ML can turn credit-invisible MSMEs into assessable, explainable, and bankable customers. The submission includes a product-oriented POC concept, dashboard-ready architecture, AI/ML scoring design, and clear business impact aligned to Track 03.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5858"/>
        <w:sz w:val="16"/>
      </w:rPr>
      <w:t>CrediLens MSME | IDBI Innovate 2026 | Track 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