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CF" w:rsidRDefault="00994363" w:rsidP="0099436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="001634CF" w:rsidRPr="001F415D">
        <w:rPr>
          <w:rFonts w:ascii="Arial" w:hAnsi="Arial" w:cs="Arial"/>
        </w:rPr>
        <w:t>зменение их численности по сравнению с прошлым годом (%); количество выдачи документов (экз.) и изменение её численности по сравнению с прошлым годом (%); количество посещений (чел.) и изменение их численности по сравнению с прошлым годом (%); охват населения услугами библиотек (% посетителей библиотек от общей численности жителей обслуживаемой территории); число мероприятий, проведенных библиотекой за год (ед.) и их средняя посещаемость; доля мероприятий, рассчитанных на обслуживание социально менее защищенных возрастных групп: детей и подростков, пенсионеров, людей с ограничениями жизнедеятельности и т.п. (% от общего числа проводимых мероприятий); доля новых форм библиотечно-информационного обслуживания пользователей в общем количестве предоставляемых библиотекой профильных услуг.</w:t>
      </w:r>
    </w:p>
    <w:p w:rsidR="001634CF" w:rsidRDefault="001634CF" w:rsidP="00994363">
      <w:pPr>
        <w:ind w:firstLine="708"/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>Показатели экономической эффективности деятельности доходы от уставной и предпринимательской деятельности из расчета на одного библиотечного специалиста (тыс. руб.); доходы от уставной и предпринимательской деятельности из расчета на кв.м площади (тыс. руб.); себестоимость одного посещения библиотеки (в руб.) и его изменение (рост, снижение) по сравнению с прошлым годом (%); себестоимость одной выдачи документов библиотеки (в руб.) и ее изменение (рост, снижение) по сравнению с прошлым годом (%); удельный вес расходов на комплектование библиотечных фондов от общих расходов (%); удельный вес бюджетного финансирования в себестоимости посещений библиотеки за год (%); удельный вес бюджетного финансирования в себестоимости выдачи документов библиотеки за год (%); средняя зарплата работника библиотеки (руб./мес.) и ее уровень по сравнению со среднемесячной заработной платой в регионе (%).</w:t>
      </w:r>
    </w:p>
    <w:p w:rsidR="001634CF" w:rsidRDefault="001634CF" w:rsidP="00994363">
      <w:pPr>
        <w:ind w:firstLine="708"/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>Показатели производственной эффективности деятельности количество посещений из расчета на кв. м площади; количество выдач документов из расчета на одного библиотечного специалиста (экз.); количество читателей из расчета на одного библиотечного специалиста (чел.).</w:t>
      </w:r>
    </w:p>
    <w:p w:rsidR="001634CF" w:rsidRDefault="001634CF" w:rsidP="00994363">
      <w:pPr>
        <w:ind w:firstLine="708"/>
        <w:jc w:val="both"/>
        <w:rPr>
          <w:rFonts w:ascii="Arial" w:hAnsi="Arial" w:cs="Arial"/>
        </w:rPr>
      </w:pPr>
      <w:r w:rsidRPr="001F415D">
        <w:rPr>
          <w:rFonts w:ascii="Arial" w:hAnsi="Arial" w:cs="Arial"/>
        </w:rPr>
        <w:t>Метод оценки использования фонда Число выдачи документов на абонементе за определенный период Число выдачи документов в читальном зале за тот же период Общее число документов в фонде (объем фонда) Вычисление: Выдача документов на абонементе + выдача документов в читальном зале / объем фонда</w:t>
      </w:r>
    </w:p>
    <w:p w:rsidR="001634CF" w:rsidRPr="001F415D" w:rsidRDefault="001634CF" w:rsidP="001634CF">
      <w:pPr>
        <w:jc w:val="both"/>
        <w:rPr>
          <w:rFonts w:ascii="Arial" w:hAnsi="Arial" w:cs="Arial"/>
        </w:rPr>
      </w:pPr>
    </w:p>
    <w:p w:rsidR="0058363A" w:rsidRDefault="0058363A"/>
    <w:sectPr w:rsidR="0058363A" w:rsidSect="0058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08"/>
  <w:characterSpacingControl w:val="doNotCompress"/>
  <w:compat/>
  <w:rsids>
    <w:rsidRoot w:val="001634CF"/>
    <w:rsid w:val="001634CF"/>
    <w:rsid w:val="0058363A"/>
    <w:rsid w:val="0099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yklesova</dc:creator>
  <cp:lastModifiedBy>yklesova</cp:lastModifiedBy>
  <cp:revision>2</cp:revision>
  <dcterms:created xsi:type="dcterms:W3CDTF">2018-01-22T17:22:00Z</dcterms:created>
  <dcterms:modified xsi:type="dcterms:W3CDTF">2018-01-22T17:23:00Z</dcterms:modified>
</cp:coreProperties>
</file>