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209948" w14:textId="44FA76F5" w:rsidR="005D641A" w:rsidRPr="007849B5" w:rsidRDefault="00000000" w:rsidP="007849B5">
      <w:pPr>
        <w:rPr>
          <w:rFonts w:asciiTheme="majorBidi" w:hAnsiTheme="majorBidi" w:cstheme="majorBidi"/>
          <w:sz w:val="24"/>
          <w:szCs w:val="24"/>
        </w:rPr>
      </w:pPr>
      <w:r w:rsidRPr="007849B5">
        <w:rPr>
          <w:rFonts w:asciiTheme="majorBidi" w:hAnsiTheme="majorBidi" w:cstheme="majorBidi"/>
          <w:b/>
          <w:sz w:val="24"/>
          <w:szCs w:val="24"/>
        </w:rPr>
        <w:t>NATIONAL PROTOCOL</w:t>
      </w:r>
      <w:r w:rsidRPr="007849B5">
        <w:rPr>
          <w:rFonts w:asciiTheme="majorBidi" w:hAnsiTheme="majorBidi" w:cstheme="majorBidi"/>
          <w:b/>
          <w:sz w:val="24"/>
          <w:szCs w:val="24"/>
        </w:rPr>
        <w:br/>
        <w:t>Health and Medical Preparedness for Mass-Gathering Events</w:t>
      </w:r>
      <w:r w:rsidR="002D7574">
        <w:rPr>
          <w:rFonts w:asciiTheme="majorBidi" w:hAnsiTheme="majorBidi" w:cstheme="majorBidi"/>
          <w:b/>
          <w:sz w:val="24"/>
          <w:szCs w:val="24"/>
        </w:rPr>
        <w:t xml:space="preserve"> (Organized Sports Or Recreational Events)</w:t>
      </w:r>
      <w:r w:rsidRPr="007849B5">
        <w:rPr>
          <w:rFonts w:asciiTheme="majorBidi" w:hAnsiTheme="majorBidi" w:cstheme="majorBidi"/>
          <w:b/>
          <w:sz w:val="24"/>
          <w:szCs w:val="24"/>
        </w:rPr>
        <w:br/>
        <w:t>Ministry of Public Health – Republic of Lebanon</w:t>
      </w:r>
      <w:r w:rsidRPr="007849B5">
        <w:rPr>
          <w:rFonts w:asciiTheme="majorBidi" w:hAnsiTheme="majorBidi" w:cstheme="majorBidi"/>
          <w:b/>
          <w:sz w:val="24"/>
          <w:szCs w:val="24"/>
        </w:rPr>
        <w:br/>
      </w:r>
    </w:p>
    <w:p w14:paraId="75A538B1" w14:textId="77777777" w:rsidR="005D641A" w:rsidRPr="007849B5" w:rsidRDefault="00000000" w:rsidP="007849B5">
      <w:pPr>
        <w:pStyle w:val="Heading1"/>
        <w:rPr>
          <w:rFonts w:asciiTheme="majorBidi" w:hAnsiTheme="majorBidi"/>
          <w:color w:val="auto"/>
          <w:szCs w:val="24"/>
        </w:rPr>
      </w:pPr>
      <w:r w:rsidRPr="007849B5">
        <w:rPr>
          <w:rFonts w:asciiTheme="majorBidi" w:hAnsiTheme="majorBidi"/>
          <w:color w:val="auto"/>
          <w:szCs w:val="24"/>
        </w:rPr>
        <w:t>1. Purpose</w:t>
      </w:r>
    </w:p>
    <w:p w14:paraId="5E7CE0D3"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This Protocol establishes the national operational process and minimum planning standards for health and medical preparedness at mass-gathering events in Lebanon. It defines applicability, classification, notification, submission, Ministry review, medical operations, major-incident preparedness, and post-event reporting.</w:t>
      </w:r>
    </w:p>
    <w:p w14:paraId="77C9E886" w14:textId="77777777" w:rsidR="005D641A" w:rsidRPr="007849B5" w:rsidRDefault="00000000" w:rsidP="007849B5">
      <w:pPr>
        <w:pStyle w:val="Heading1"/>
        <w:rPr>
          <w:rFonts w:asciiTheme="majorBidi" w:hAnsiTheme="majorBidi"/>
          <w:color w:val="auto"/>
          <w:szCs w:val="24"/>
        </w:rPr>
      </w:pPr>
      <w:r w:rsidRPr="007849B5">
        <w:rPr>
          <w:rFonts w:asciiTheme="majorBidi" w:hAnsiTheme="majorBidi"/>
          <w:color w:val="auto"/>
          <w:szCs w:val="24"/>
        </w:rPr>
        <w:t>2. Scope</w:t>
      </w:r>
    </w:p>
    <w:p w14:paraId="17EA4FC6"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This Protocol applies throughout the Republic of Lebanon to planned public or private events and recurring venues meeting the criteria in Section 3.</w:t>
      </w:r>
    </w:p>
    <w:p w14:paraId="13031269" w14:textId="77777777" w:rsidR="005D641A" w:rsidRPr="007849B5" w:rsidRDefault="00000000" w:rsidP="007849B5">
      <w:pPr>
        <w:pStyle w:val="Heading1"/>
        <w:rPr>
          <w:rFonts w:asciiTheme="majorBidi" w:hAnsiTheme="majorBidi"/>
          <w:color w:val="auto"/>
          <w:szCs w:val="24"/>
        </w:rPr>
      </w:pPr>
      <w:r w:rsidRPr="007849B5">
        <w:rPr>
          <w:rFonts w:asciiTheme="majorBidi" w:hAnsiTheme="majorBidi"/>
          <w:color w:val="auto"/>
          <w:szCs w:val="24"/>
        </w:rPr>
        <w:t>3. Applicability and Event Designation</w:t>
      </w:r>
    </w:p>
    <w:p w14:paraId="77E5F173" w14:textId="77777777" w:rsidR="005D641A" w:rsidRPr="007849B5" w:rsidRDefault="00000000" w:rsidP="007849B5">
      <w:pPr>
        <w:pStyle w:val="Heading2"/>
        <w:rPr>
          <w:rFonts w:asciiTheme="majorBidi" w:hAnsiTheme="majorBidi"/>
          <w:color w:val="auto"/>
          <w:sz w:val="24"/>
          <w:szCs w:val="24"/>
        </w:rPr>
      </w:pPr>
      <w:r w:rsidRPr="007849B5">
        <w:rPr>
          <w:rFonts w:asciiTheme="majorBidi" w:hAnsiTheme="majorBidi"/>
          <w:color w:val="auto"/>
          <w:sz w:val="24"/>
          <w:szCs w:val="24"/>
        </w:rPr>
        <w:t>3.1 Events Required to Enter the Process</w:t>
      </w:r>
    </w:p>
    <w:p w14:paraId="4B6CC888"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The organizer shall complete NEHRAT (Annex A) where any one of the following applies:</w:t>
      </w:r>
    </w:p>
    <w:p w14:paraId="2755D7B5" w14:textId="6CF939F9" w:rsidR="005D641A" w:rsidRPr="007849B5" w:rsidRDefault="00000000" w:rsidP="007849B5">
      <w:pPr>
        <w:pStyle w:val="ListBullet"/>
        <w:rPr>
          <w:rFonts w:asciiTheme="majorBidi" w:hAnsiTheme="majorBidi" w:cstheme="majorBidi"/>
          <w:sz w:val="24"/>
          <w:szCs w:val="24"/>
        </w:rPr>
      </w:pPr>
      <w:r w:rsidRPr="007849B5">
        <w:rPr>
          <w:rFonts w:asciiTheme="majorBidi" w:hAnsiTheme="majorBidi" w:cstheme="majorBidi"/>
          <w:sz w:val="24"/>
          <w:szCs w:val="24"/>
        </w:rPr>
        <w:t xml:space="preserve">The event requires authorization, notification, or approval from the Ministry of Interior and Municipalities, a municipality, a Governor (Mohafez), a District Commissioner (Qaimaqam), or another competent authority and involves an organized sporting event, physical-activity event, performance, festival, exhibition, ceremony or </w:t>
      </w:r>
      <w:r w:rsidR="002D7574">
        <w:rPr>
          <w:rFonts w:asciiTheme="majorBidi" w:hAnsiTheme="majorBidi" w:cstheme="majorBidi"/>
          <w:sz w:val="24"/>
          <w:szCs w:val="24"/>
        </w:rPr>
        <w:t>other recreational</w:t>
      </w:r>
      <w:r w:rsidRPr="007849B5">
        <w:rPr>
          <w:rFonts w:asciiTheme="majorBidi" w:hAnsiTheme="majorBidi" w:cstheme="majorBidi"/>
          <w:sz w:val="24"/>
          <w:szCs w:val="24"/>
        </w:rPr>
        <w:t xml:space="preserve"> event.</w:t>
      </w:r>
    </w:p>
    <w:p w14:paraId="23410D7A" w14:textId="77777777" w:rsidR="005D641A" w:rsidRPr="007849B5" w:rsidRDefault="00000000" w:rsidP="007849B5">
      <w:pPr>
        <w:pStyle w:val="ListBullet"/>
        <w:rPr>
          <w:rFonts w:asciiTheme="majorBidi" w:hAnsiTheme="majorBidi" w:cstheme="majorBidi"/>
          <w:sz w:val="24"/>
          <w:szCs w:val="24"/>
        </w:rPr>
      </w:pPr>
      <w:r w:rsidRPr="007849B5">
        <w:rPr>
          <w:rFonts w:asciiTheme="majorBidi" w:hAnsiTheme="majorBidi" w:cstheme="majorBidi"/>
          <w:sz w:val="24"/>
          <w:szCs w:val="24"/>
        </w:rPr>
        <w:t>Expected maximum simultaneous attendance is 1,000 persons or more.</w:t>
      </w:r>
    </w:p>
    <w:p w14:paraId="11AEC92E" w14:textId="743301BA" w:rsidR="005D641A" w:rsidRPr="007849B5" w:rsidRDefault="00000000" w:rsidP="007849B5">
      <w:pPr>
        <w:pStyle w:val="ListBullet"/>
        <w:rPr>
          <w:rFonts w:asciiTheme="majorBidi" w:hAnsiTheme="majorBidi" w:cstheme="majorBidi"/>
          <w:sz w:val="24"/>
          <w:szCs w:val="24"/>
        </w:rPr>
      </w:pPr>
      <w:r w:rsidRPr="007849B5">
        <w:rPr>
          <w:rFonts w:asciiTheme="majorBidi" w:hAnsiTheme="majorBidi" w:cstheme="majorBidi"/>
          <w:sz w:val="24"/>
          <w:szCs w:val="24"/>
        </w:rPr>
        <w:t>The event is an organized sporting competition or mass-participation physical activity conducted outside routine facility operations, requiring dedicated medical, EMS, traffic, security, or emergency arrangements, using a temporary</w:t>
      </w:r>
      <w:r w:rsidR="00575382">
        <w:rPr>
          <w:rFonts w:asciiTheme="majorBidi" w:hAnsiTheme="majorBidi" w:cstheme="majorBidi"/>
          <w:sz w:val="24"/>
          <w:szCs w:val="24"/>
        </w:rPr>
        <w:t xml:space="preserve"> </w:t>
      </w:r>
      <w:r w:rsidRPr="007849B5">
        <w:rPr>
          <w:rFonts w:asciiTheme="majorBidi" w:hAnsiTheme="majorBidi" w:cstheme="majorBidi"/>
          <w:sz w:val="24"/>
          <w:szCs w:val="24"/>
        </w:rPr>
        <w:t>road, trail, mountain, water, dispersed, or multi-site course, or appearing in the Minimum Event Level Table in Annex A.</w:t>
      </w:r>
    </w:p>
    <w:p w14:paraId="7DF7E385" w14:textId="663CD971" w:rsidR="00575382" w:rsidRDefault="00575382" w:rsidP="007849B5">
      <w:pPr>
        <w:pStyle w:val="ListBullet"/>
        <w:rPr>
          <w:rFonts w:asciiTheme="majorBidi" w:hAnsiTheme="majorBidi" w:cstheme="majorBidi"/>
          <w:sz w:val="24"/>
          <w:szCs w:val="24"/>
        </w:rPr>
      </w:pPr>
      <w:r w:rsidRPr="00575382">
        <w:rPr>
          <w:rFonts w:asciiTheme="majorBidi" w:hAnsiTheme="majorBidi" w:cstheme="majorBidi"/>
          <w:sz w:val="24"/>
          <w:szCs w:val="24"/>
        </w:rPr>
        <w:t>The event takes place at a recurring event venue that regularly hosts organized events, has an approved or licensed capacity of 1,000 persons or more, and requires annual assessment under Annex A.</w:t>
      </w:r>
    </w:p>
    <w:p w14:paraId="3E7F9F4E" w14:textId="157328FB" w:rsidR="005D641A" w:rsidRPr="007849B5" w:rsidRDefault="00000000" w:rsidP="007849B5">
      <w:pPr>
        <w:pStyle w:val="ListBullet"/>
        <w:rPr>
          <w:rFonts w:asciiTheme="majorBidi" w:hAnsiTheme="majorBidi" w:cstheme="majorBidi"/>
          <w:sz w:val="24"/>
          <w:szCs w:val="24"/>
        </w:rPr>
      </w:pPr>
      <w:r w:rsidRPr="007849B5">
        <w:rPr>
          <w:rFonts w:asciiTheme="majorBidi" w:hAnsiTheme="majorBidi" w:cstheme="majorBidi"/>
          <w:sz w:val="24"/>
          <w:szCs w:val="24"/>
        </w:rPr>
        <w:t>Any previous edition involved cardiac arrest, death, major-incident activation, or interruption or termination for medical reasons.</w:t>
      </w:r>
    </w:p>
    <w:p w14:paraId="410F5AD0" w14:textId="77777777" w:rsidR="005D641A" w:rsidRPr="007849B5" w:rsidRDefault="00000000" w:rsidP="007849B5">
      <w:pPr>
        <w:pStyle w:val="ListBullet"/>
        <w:rPr>
          <w:rFonts w:asciiTheme="majorBidi" w:hAnsiTheme="majorBidi" w:cstheme="majorBidi"/>
          <w:sz w:val="24"/>
          <w:szCs w:val="24"/>
        </w:rPr>
      </w:pPr>
      <w:r w:rsidRPr="007849B5">
        <w:rPr>
          <w:rFonts w:asciiTheme="majorBidi" w:hAnsiTheme="majorBidi" w:cstheme="majorBidi"/>
          <w:sz w:val="24"/>
          <w:szCs w:val="24"/>
        </w:rPr>
        <w:t>MOPH designates the event, or another competent authority refers it to MOPH, because of an identifiable health or medical risk.</w:t>
      </w:r>
    </w:p>
    <w:p w14:paraId="051BB17C" w14:textId="77777777" w:rsidR="005D641A" w:rsidRPr="007849B5" w:rsidRDefault="00000000" w:rsidP="007849B5">
      <w:pPr>
        <w:pStyle w:val="Heading2"/>
        <w:rPr>
          <w:rFonts w:asciiTheme="majorBidi" w:hAnsiTheme="majorBidi"/>
          <w:color w:val="auto"/>
          <w:sz w:val="24"/>
          <w:szCs w:val="24"/>
        </w:rPr>
      </w:pPr>
      <w:r w:rsidRPr="007849B5">
        <w:rPr>
          <w:rFonts w:asciiTheme="majorBidi" w:hAnsiTheme="majorBidi"/>
          <w:color w:val="auto"/>
          <w:sz w:val="24"/>
          <w:szCs w:val="24"/>
        </w:rPr>
        <w:t>3.2 Events Not Routinely Subject</w:t>
      </w:r>
    </w:p>
    <w:p w14:paraId="1274A64F"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Routine school, university, workplace, sports-training, healthcare, hospitality, retail, religious, fitness-facility, and other ordinary facility operations are not routinely subject unless they meet a criterion in Section 3.1. A special event held at such a facility remains subject where a criterion applies.</w:t>
      </w:r>
    </w:p>
    <w:p w14:paraId="201CEA63"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Ordinary private family or social gatherings are not routinely subject unless attendance reaches 1,000 persons, the gathering requires authorization by a competent authority, or MOPH identifies a specific health or medical risk.</w:t>
      </w:r>
    </w:p>
    <w:p w14:paraId="10588899" w14:textId="77777777" w:rsidR="005D641A" w:rsidRPr="007849B5" w:rsidRDefault="00000000" w:rsidP="007849B5">
      <w:pPr>
        <w:pStyle w:val="Heading2"/>
        <w:rPr>
          <w:rFonts w:asciiTheme="majorBidi" w:hAnsiTheme="majorBidi"/>
          <w:color w:val="auto"/>
          <w:sz w:val="24"/>
          <w:szCs w:val="24"/>
        </w:rPr>
      </w:pPr>
      <w:r w:rsidRPr="007849B5">
        <w:rPr>
          <w:rFonts w:asciiTheme="majorBidi" w:hAnsiTheme="majorBidi"/>
          <w:color w:val="auto"/>
          <w:sz w:val="24"/>
          <w:szCs w:val="24"/>
        </w:rPr>
        <w:t>3.3 Determination of Applicability</w:t>
      </w:r>
    </w:p>
    <w:p w14:paraId="2F7D04A3"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Where applicability is uncertain, MOPH shall make the final determination.</w:t>
      </w:r>
    </w:p>
    <w:p w14:paraId="6A27BDC0" w14:textId="77777777" w:rsidR="005D641A" w:rsidRPr="007849B5" w:rsidRDefault="00000000" w:rsidP="007849B5">
      <w:pPr>
        <w:pStyle w:val="Heading1"/>
        <w:rPr>
          <w:rFonts w:asciiTheme="majorBidi" w:hAnsiTheme="majorBidi"/>
          <w:color w:val="auto"/>
          <w:szCs w:val="24"/>
        </w:rPr>
      </w:pPr>
      <w:r w:rsidRPr="007849B5">
        <w:rPr>
          <w:rFonts w:asciiTheme="majorBidi" w:hAnsiTheme="majorBidi"/>
          <w:color w:val="auto"/>
          <w:szCs w:val="24"/>
        </w:rPr>
        <w:t>4. Integration with Event Authorization</w:t>
      </w:r>
    </w:p>
    <w:p w14:paraId="11A7551B"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The organizer shall include the MOPH notification or compliance reference in any application to the Ministry of Interior and Municipalities or another competent event-authorizing authority.</w:t>
      </w:r>
    </w:p>
    <w:p w14:paraId="5B78A4EE"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For Level 2 and Level 3 events, the competent authority should verify that MOPH has recorded the health and medical preparedness requirements as satisfied before issuing final event authorization.</w:t>
      </w:r>
    </w:p>
    <w:p w14:paraId="3E5C1A2C"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MOPH reviews health and medical preparedness only. Overall event authorization remains the responsibility of the legally competent authority.</w:t>
      </w:r>
    </w:p>
    <w:p w14:paraId="6E64F069" w14:textId="77777777" w:rsidR="005D641A" w:rsidRPr="007849B5" w:rsidRDefault="00000000" w:rsidP="007849B5">
      <w:pPr>
        <w:pStyle w:val="Heading1"/>
        <w:rPr>
          <w:rFonts w:asciiTheme="majorBidi" w:hAnsiTheme="majorBidi"/>
          <w:color w:val="auto"/>
          <w:szCs w:val="24"/>
        </w:rPr>
      </w:pPr>
      <w:r w:rsidRPr="007849B5">
        <w:rPr>
          <w:rFonts w:asciiTheme="majorBidi" w:hAnsiTheme="majorBidi"/>
          <w:color w:val="auto"/>
          <w:szCs w:val="24"/>
        </w:rPr>
        <w:lastRenderedPageBreak/>
        <w:t>5. Event Classification</w:t>
      </w:r>
    </w:p>
    <w:p w14:paraId="3167D199"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The organizer shall complete NEHRAT (Annex A).</w:t>
      </w:r>
    </w:p>
    <w:p w14:paraId="76E0B22C"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The final NEHRAT level determines the applicable minimum requirements in Annex B.</w:t>
      </w:r>
    </w:p>
    <w:p w14:paraId="252028CA"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The final level is the higher of the score-based level and any applicable minimum event level.</w:t>
      </w:r>
    </w:p>
    <w:p w14:paraId="5DC988F3" w14:textId="77777777" w:rsidR="005D641A" w:rsidRPr="007849B5" w:rsidRDefault="00000000" w:rsidP="007849B5">
      <w:pPr>
        <w:pStyle w:val="Heading1"/>
        <w:rPr>
          <w:rFonts w:asciiTheme="majorBidi" w:hAnsiTheme="majorBidi"/>
          <w:color w:val="auto"/>
          <w:szCs w:val="24"/>
        </w:rPr>
      </w:pPr>
      <w:r w:rsidRPr="007849B5">
        <w:rPr>
          <w:rFonts w:asciiTheme="majorBidi" w:hAnsiTheme="majorBidi"/>
          <w:color w:val="auto"/>
          <w:szCs w:val="24"/>
        </w:rPr>
        <w:t>6. Health and Medical Planning</w:t>
      </w:r>
    </w:p>
    <w:p w14:paraId="7A952AE5" w14:textId="77777777" w:rsidR="00575382" w:rsidRPr="00575382" w:rsidRDefault="00575382" w:rsidP="007849B5">
      <w:pPr>
        <w:rPr>
          <w:rFonts w:asciiTheme="majorBidi" w:hAnsiTheme="majorBidi" w:cstheme="majorBidi"/>
          <w:sz w:val="24"/>
          <w:szCs w:val="24"/>
        </w:rPr>
      </w:pPr>
      <w:r w:rsidRPr="00575382">
        <w:rPr>
          <w:rFonts w:asciiTheme="majorBidi" w:hAnsiTheme="majorBidi" w:cstheme="majorBidi"/>
          <w:sz w:val="24"/>
          <w:szCs w:val="24"/>
        </w:rPr>
        <w:t>The organizer shall maintain documented medical arrangements for a Level 1 event and shall prepare an Event Health &amp; Medical Plan appropriate to a Level 2 or Level 3 event.</w:t>
      </w:r>
    </w:p>
    <w:p w14:paraId="25CB78B2" w14:textId="71A5A418" w:rsidR="007849B5" w:rsidRPr="007849B5" w:rsidRDefault="007849B5" w:rsidP="007849B5">
      <w:pPr>
        <w:rPr>
          <w:rFonts w:asciiTheme="majorBidi" w:hAnsiTheme="majorBidi" w:cstheme="majorBidi"/>
          <w:sz w:val="24"/>
          <w:szCs w:val="24"/>
        </w:rPr>
      </w:pPr>
      <w:r w:rsidRPr="007849B5">
        <w:rPr>
          <w:rFonts w:asciiTheme="majorBidi" w:hAnsiTheme="majorBidi" w:cstheme="majorBidi"/>
          <w:sz w:val="24"/>
          <w:szCs w:val="24"/>
        </w:rPr>
        <w:t>At a minimum, and according to the applicable requirements in Annex B, the EHMP shall address:</w:t>
      </w:r>
    </w:p>
    <w:p w14:paraId="09E200C3" w14:textId="77777777" w:rsidR="007849B5" w:rsidRPr="007849B5" w:rsidRDefault="007849B5" w:rsidP="007849B5">
      <w:pPr>
        <w:numPr>
          <w:ilvl w:val="0"/>
          <w:numId w:val="10"/>
        </w:numPr>
        <w:spacing w:before="100" w:beforeAutospacing="1" w:after="100" w:afterAutospacing="1"/>
        <w:rPr>
          <w:rFonts w:ascii="Times New Roman" w:eastAsia="Times New Roman" w:hAnsi="Times New Roman" w:cs="Times New Roman"/>
          <w:sz w:val="24"/>
          <w:szCs w:val="24"/>
        </w:rPr>
      </w:pPr>
      <w:r w:rsidRPr="007849B5">
        <w:rPr>
          <w:rFonts w:ascii="Times New Roman" w:eastAsia="Times New Roman" w:hAnsi="Times New Roman" w:cs="Times New Roman"/>
          <w:sz w:val="24"/>
          <w:szCs w:val="24"/>
        </w:rPr>
        <w:t xml:space="preserve">event description and schedule; </w:t>
      </w:r>
    </w:p>
    <w:p w14:paraId="3E43DFE1" w14:textId="77777777" w:rsidR="007849B5" w:rsidRPr="007849B5" w:rsidRDefault="007849B5" w:rsidP="007849B5">
      <w:pPr>
        <w:numPr>
          <w:ilvl w:val="0"/>
          <w:numId w:val="10"/>
        </w:numPr>
        <w:spacing w:before="100" w:beforeAutospacing="1" w:after="100" w:afterAutospacing="1"/>
        <w:rPr>
          <w:rFonts w:ascii="Times New Roman" w:eastAsia="Times New Roman" w:hAnsi="Times New Roman" w:cs="Times New Roman"/>
          <w:sz w:val="24"/>
          <w:szCs w:val="24"/>
        </w:rPr>
      </w:pPr>
      <w:r w:rsidRPr="007849B5">
        <w:rPr>
          <w:rFonts w:ascii="Times New Roman" w:eastAsia="Times New Roman" w:hAnsi="Times New Roman" w:cs="Times New Roman"/>
          <w:sz w:val="24"/>
          <w:szCs w:val="24"/>
        </w:rPr>
        <w:t xml:space="preserve">responsible organizer and participating-provider contacts; </w:t>
      </w:r>
    </w:p>
    <w:p w14:paraId="4CF08691" w14:textId="77777777" w:rsidR="007849B5" w:rsidRPr="007849B5" w:rsidRDefault="007849B5" w:rsidP="007849B5">
      <w:pPr>
        <w:numPr>
          <w:ilvl w:val="0"/>
          <w:numId w:val="10"/>
        </w:numPr>
        <w:spacing w:before="100" w:beforeAutospacing="1" w:after="100" w:afterAutospacing="1"/>
        <w:rPr>
          <w:rFonts w:ascii="Times New Roman" w:eastAsia="Times New Roman" w:hAnsi="Times New Roman" w:cs="Times New Roman"/>
          <w:sz w:val="24"/>
          <w:szCs w:val="24"/>
        </w:rPr>
      </w:pPr>
      <w:r w:rsidRPr="007849B5">
        <w:rPr>
          <w:rFonts w:ascii="Times New Roman" w:eastAsia="Times New Roman" w:hAnsi="Times New Roman" w:cs="Times New Roman"/>
          <w:sz w:val="24"/>
          <w:szCs w:val="24"/>
        </w:rPr>
        <w:t xml:space="preserve">medical and first-aid staffing and deployment; </w:t>
      </w:r>
    </w:p>
    <w:p w14:paraId="42673B9F" w14:textId="77777777" w:rsidR="007849B5" w:rsidRPr="007849B5" w:rsidRDefault="007849B5" w:rsidP="007849B5">
      <w:pPr>
        <w:numPr>
          <w:ilvl w:val="0"/>
          <w:numId w:val="10"/>
        </w:numPr>
        <w:spacing w:before="100" w:beforeAutospacing="1" w:after="100" w:afterAutospacing="1"/>
        <w:rPr>
          <w:rFonts w:ascii="Times New Roman" w:eastAsia="Times New Roman" w:hAnsi="Times New Roman" w:cs="Times New Roman"/>
          <w:sz w:val="24"/>
          <w:szCs w:val="24"/>
        </w:rPr>
      </w:pPr>
      <w:r w:rsidRPr="007849B5">
        <w:rPr>
          <w:rFonts w:ascii="Times New Roman" w:eastAsia="Times New Roman" w:hAnsi="Times New Roman" w:cs="Times New Roman"/>
          <w:sz w:val="24"/>
          <w:szCs w:val="24"/>
        </w:rPr>
        <w:t xml:space="preserve">medical treatment posts; </w:t>
      </w:r>
    </w:p>
    <w:p w14:paraId="0D671F87" w14:textId="77777777" w:rsidR="007849B5" w:rsidRPr="007849B5" w:rsidRDefault="007849B5" w:rsidP="007849B5">
      <w:pPr>
        <w:numPr>
          <w:ilvl w:val="0"/>
          <w:numId w:val="10"/>
        </w:numPr>
        <w:spacing w:before="100" w:beforeAutospacing="1" w:after="100" w:afterAutospacing="1"/>
        <w:rPr>
          <w:rFonts w:ascii="Times New Roman" w:eastAsia="Times New Roman" w:hAnsi="Times New Roman" w:cs="Times New Roman"/>
          <w:sz w:val="24"/>
          <w:szCs w:val="24"/>
        </w:rPr>
      </w:pPr>
      <w:r w:rsidRPr="007849B5">
        <w:rPr>
          <w:rFonts w:ascii="Times New Roman" w:eastAsia="Times New Roman" w:hAnsi="Times New Roman" w:cs="Times New Roman"/>
          <w:sz w:val="24"/>
          <w:szCs w:val="24"/>
        </w:rPr>
        <w:t xml:space="preserve">CPR and cardiac-arrest response; </w:t>
      </w:r>
    </w:p>
    <w:p w14:paraId="48312C93" w14:textId="77777777" w:rsidR="007849B5" w:rsidRPr="007849B5" w:rsidRDefault="007849B5" w:rsidP="007849B5">
      <w:pPr>
        <w:numPr>
          <w:ilvl w:val="0"/>
          <w:numId w:val="10"/>
        </w:numPr>
        <w:spacing w:before="100" w:beforeAutospacing="1" w:after="100" w:afterAutospacing="1"/>
        <w:rPr>
          <w:rFonts w:ascii="Times New Roman" w:eastAsia="Times New Roman" w:hAnsi="Times New Roman" w:cs="Times New Roman"/>
          <w:sz w:val="24"/>
          <w:szCs w:val="24"/>
        </w:rPr>
      </w:pPr>
      <w:r w:rsidRPr="007849B5">
        <w:rPr>
          <w:rFonts w:ascii="Times New Roman" w:eastAsia="Times New Roman" w:hAnsi="Times New Roman" w:cs="Times New Roman"/>
          <w:sz w:val="24"/>
          <w:szCs w:val="24"/>
        </w:rPr>
        <w:t xml:space="preserve">AED deployment; </w:t>
      </w:r>
    </w:p>
    <w:p w14:paraId="2187D587" w14:textId="77777777" w:rsidR="007849B5" w:rsidRPr="007849B5" w:rsidRDefault="007849B5" w:rsidP="007849B5">
      <w:pPr>
        <w:numPr>
          <w:ilvl w:val="0"/>
          <w:numId w:val="10"/>
        </w:numPr>
        <w:spacing w:before="100" w:beforeAutospacing="1" w:after="100" w:afterAutospacing="1"/>
        <w:rPr>
          <w:rFonts w:ascii="Times New Roman" w:eastAsia="Times New Roman" w:hAnsi="Times New Roman" w:cs="Times New Roman"/>
          <w:sz w:val="24"/>
          <w:szCs w:val="24"/>
        </w:rPr>
      </w:pPr>
      <w:r w:rsidRPr="007849B5">
        <w:rPr>
          <w:rFonts w:ascii="Times New Roman" w:eastAsia="Times New Roman" w:hAnsi="Times New Roman" w:cs="Times New Roman"/>
          <w:sz w:val="24"/>
          <w:szCs w:val="24"/>
        </w:rPr>
        <w:t xml:space="preserve">medical equipment and supplies; </w:t>
      </w:r>
    </w:p>
    <w:p w14:paraId="73175283" w14:textId="77777777" w:rsidR="007849B5" w:rsidRPr="007849B5" w:rsidRDefault="007849B5" w:rsidP="007849B5">
      <w:pPr>
        <w:numPr>
          <w:ilvl w:val="0"/>
          <w:numId w:val="10"/>
        </w:numPr>
        <w:spacing w:before="100" w:beforeAutospacing="1" w:after="100" w:afterAutospacing="1"/>
        <w:rPr>
          <w:rFonts w:ascii="Times New Roman" w:eastAsia="Times New Roman" w:hAnsi="Times New Roman" w:cs="Times New Roman"/>
          <w:sz w:val="24"/>
          <w:szCs w:val="24"/>
        </w:rPr>
      </w:pPr>
      <w:r w:rsidRPr="007849B5">
        <w:rPr>
          <w:rFonts w:ascii="Times New Roman" w:eastAsia="Times New Roman" w:hAnsi="Times New Roman" w:cs="Times New Roman"/>
          <w:sz w:val="24"/>
          <w:szCs w:val="24"/>
        </w:rPr>
        <w:t xml:space="preserve">ambulance arrangements; </w:t>
      </w:r>
    </w:p>
    <w:p w14:paraId="60C56DD0" w14:textId="77777777" w:rsidR="007849B5" w:rsidRPr="007849B5" w:rsidRDefault="007849B5" w:rsidP="007849B5">
      <w:pPr>
        <w:numPr>
          <w:ilvl w:val="0"/>
          <w:numId w:val="10"/>
        </w:numPr>
        <w:spacing w:before="100" w:beforeAutospacing="1" w:after="100" w:afterAutospacing="1"/>
        <w:rPr>
          <w:rFonts w:ascii="Times New Roman" w:eastAsia="Times New Roman" w:hAnsi="Times New Roman" w:cs="Times New Roman"/>
          <w:sz w:val="24"/>
          <w:szCs w:val="24"/>
        </w:rPr>
      </w:pPr>
      <w:r w:rsidRPr="007849B5">
        <w:rPr>
          <w:rFonts w:ascii="Times New Roman" w:eastAsia="Times New Roman" w:hAnsi="Times New Roman" w:cs="Times New Roman"/>
          <w:sz w:val="24"/>
          <w:szCs w:val="24"/>
        </w:rPr>
        <w:t xml:space="preserve">patient access and extraction; </w:t>
      </w:r>
    </w:p>
    <w:p w14:paraId="1112B8EE" w14:textId="77777777" w:rsidR="007849B5" w:rsidRPr="007849B5" w:rsidRDefault="007849B5" w:rsidP="007849B5">
      <w:pPr>
        <w:numPr>
          <w:ilvl w:val="0"/>
          <w:numId w:val="10"/>
        </w:numPr>
        <w:spacing w:before="100" w:beforeAutospacing="1" w:after="100" w:afterAutospacing="1"/>
        <w:rPr>
          <w:rFonts w:ascii="Times New Roman" w:eastAsia="Times New Roman" w:hAnsi="Times New Roman" w:cs="Times New Roman"/>
          <w:sz w:val="24"/>
          <w:szCs w:val="24"/>
        </w:rPr>
      </w:pPr>
      <w:r w:rsidRPr="007849B5">
        <w:rPr>
          <w:rFonts w:ascii="Times New Roman" w:eastAsia="Times New Roman" w:hAnsi="Times New Roman" w:cs="Times New Roman"/>
          <w:sz w:val="24"/>
          <w:szCs w:val="24"/>
        </w:rPr>
        <w:t xml:space="preserve">coordination and communications; </w:t>
      </w:r>
    </w:p>
    <w:p w14:paraId="164D3950" w14:textId="77777777" w:rsidR="007849B5" w:rsidRPr="007849B5" w:rsidRDefault="007849B5" w:rsidP="007849B5">
      <w:pPr>
        <w:numPr>
          <w:ilvl w:val="0"/>
          <w:numId w:val="10"/>
        </w:numPr>
        <w:spacing w:before="100" w:beforeAutospacing="1" w:after="100" w:afterAutospacing="1"/>
        <w:rPr>
          <w:rFonts w:ascii="Times New Roman" w:eastAsia="Times New Roman" w:hAnsi="Times New Roman" w:cs="Times New Roman"/>
          <w:sz w:val="24"/>
          <w:szCs w:val="24"/>
        </w:rPr>
      </w:pPr>
      <w:r w:rsidRPr="007849B5">
        <w:rPr>
          <w:rFonts w:ascii="Times New Roman" w:eastAsia="Times New Roman" w:hAnsi="Times New Roman" w:cs="Times New Roman"/>
          <w:sz w:val="24"/>
          <w:szCs w:val="24"/>
        </w:rPr>
        <w:t xml:space="preserve">receiving emergency departments; </w:t>
      </w:r>
    </w:p>
    <w:p w14:paraId="2B9C640B" w14:textId="77777777" w:rsidR="007849B5" w:rsidRPr="007849B5" w:rsidRDefault="007849B5" w:rsidP="007849B5">
      <w:pPr>
        <w:numPr>
          <w:ilvl w:val="0"/>
          <w:numId w:val="10"/>
        </w:numPr>
        <w:spacing w:before="100" w:beforeAutospacing="1" w:after="100" w:afterAutospacing="1"/>
        <w:rPr>
          <w:rFonts w:ascii="Times New Roman" w:eastAsia="Times New Roman" w:hAnsi="Times New Roman" w:cs="Times New Roman"/>
          <w:sz w:val="24"/>
          <w:szCs w:val="24"/>
        </w:rPr>
      </w:pPr>
      <w:r w:rsidRPr="007849B5">
        <w:rPr>
          <w:rFonts w:ascii="Times New Roman" w:eastAsia="Times New Roman" w:hAnsi="Times New Roman" w:cs="Times New Roman"/>
          <w:sz w:val="24"/>
          <w:szCs w:val="24"/>
        </w:rPr>
        <w:t xml:space="preserve">major-incident and mass-casualty arrangements; </w:t>
      </w:r>
    </w:p>
    <w:p w14:paraId="29B6B365" w14:textId="77777777" w:rsidR="007849B5" w:rsidRPr="007849B5" w:rsidRDefault="007849B5" w:rsidP="007849B5">
      <w:pPr>
        <w:numPr>
          <w:ilvl w:val="0"/>
          <w:numId w:val="10"/>
        </w:numPr>
        <w:spacing w:before="100" w:beforeAutospacing="1" w:after="100" w:afterAutospacing="1"/>
        <w:rPr>
          <w:rFonts w:ascii="Times New Roman" w:eastAsia="Times New Roman" w:hAnsi="Times New Roman" w:cs="Times New Roman"/>
          <w:sz w:val="24"/>
          <w:szCs w:val="24"/>
        </w:rPr>
      </w:pPr>
      <w:r w:rsidRPr="007849B5">
        <w:rPr>
          <w:rFonts w:ascii="Times New Roman" w:eastAsia="Times New Roman" w:hAnsi="Times New Roman" w:cs="Times New Roman"/>
          <w:sz w:val="24"/>
          <w:szCs w:val="24"/>
        </w:rPr>
        <w:t xml:space="preserve">environmental and event-specific contingencies; </w:t>
      </w:r>
    </w:p>
    <w:p w14:paraId="610CE269" w14:textId="77777777" w:rsidR="007849B5" w:rsidRPr="007849B5" w:rsidRDefault="007849B5" w:rsidP="007849B5">
      <w:pPr>
        <w:numPr>
          <w:ilvl w:val="0"/>
          <w:numId w:val="10"/>
        </w:numPr>
        <w:spacing w:before="100" w:beforeAutospacing="1" w:after="100" w:afterAutospacing="1"/>
        <w:rPr>
          <w:rFonts w:ascii="Times New Roman" w:eastAsia="Times New Roman" w:hAnsi="Times New Roman" w:cs="Times New Roman"/>
          <w:sz w:val="24"/>
          <w:szCs w:val="24"/>
        </w:rPr>
      </w:pPr>
      <w:r w:rsidRPr="007849B5">
        <w:rPr>
          <w:rFonts w:ascii="Times New Roman" w:eastAsia="Times New Roman" w:hAnsi="Times New Roman" w:cs="Times New Roman"/>
          <w:sz w:val="24"/>
          <w:szCs w:val="24"/>
        </w:rPr>
        <w:t xml:space="preserve">continuity of medical coverage; </w:t>
      </w:r>
    </w:p>
    <w:p w14:paraId="4656C33D" w14:textId="77777777" w:rsidR="007849B5" w:rsidRPr="007849B5" w:rsidRDefault="007849B5" w:rsidP="007849B5">
      <w:pPr>
        <w:numPr>
          <w:ilvl w:val="0"/>
          <w:numId w:val="10"/>
        </w:numPr>
        <w:spacing w:before="100" w:beforeAutospacing="1" w:after="100" w:afterAutospacing="1"/>
        <w:rPr>
          <w:rFonts w:ascii="Times New Roman" w:eastAsia="Times New Roman" w:hAnsi="Times New Roman" w:cs="Times New Roman"/>
          <w:sz w:val="24"/>
          <w:szCs w:val="24"/>
        </w:rPr>
      </w:pPr>
      <w:r w:rsidRPr="007849B5">
        <w:rPr>
          <w:rFonts w:ascii="Times New Roman" w:eastAsia="Times New Roman" w:hAnsi="Times New Roman" w:cs="Times New Roman"/>
          <w:sz w:val="24"/>
          <w:szCs w:val="24"/>
        </w:rPr>
        <w:t xml:space="preserve">patient documentation; and </w:t>
      </w:r>
    </w:p>
    <w:p w14:paraId="098CE6FC" w14:textId="77777777" w:rsidR="007849B5" w:rsidRPr="007849B5" w:rsidRDefault="007849B5" w:rsidP="007849B5">
      <w:pPr>
        <w:numPr>
          <w:ilvl w:val="0"/>
          <w:numId w:val="10"/>
        </w:numPr>
        <w:spacing w:before="100" w:beforeAutospacing="1" w:after="100" w:afterAutospacing="1"/>
        <w:rPr>
          <w:rFonts w:ascii="Times New Roman" w:eastAsia="Times New Roman" w:hAnsi="Times New Roman" w:cs="Times New Roman"/>
          <w:sz w:val="24"/>
          <w:szCs w:val="24"/>
        </w:rPr>
      </w:pPr>
      <w:r w:rsidRPr="007849B5">
        <w:rPr>
          <w:rFonts w:ascii="Times New Roman" w:eastAsia="Times New Roman" w:hAnsi="Times New Roman" w:cs="Times New Roman"/>
          <w:sz w:val="24"/>
          <w:szCs w:val="24"/>
        </w:rPr>
        <w:t xml:space="preserve">post-event reporting. </w:t>
      </w:r>
    </w:p>
    <w:p w14:paraId="7D8613A1" w14:textId="77777777" w:rsidR="007849B5" w:rsidRPr="007849B5" w:rsidRDefault="007849B5" w:rsidP="007849B5">
      <w:pPr>
        <w:spacing w:before="100" w:beforeAutospacing="1" w:after="100" w:afterAutospacing="1"/>
        <w:rPr>
          <w:rFonts w:ascii="Times New Roman" w:eastAsia="Times New Roman" w:hAnsi="Times New Roman" w:cs="Times New Roman"/>
          <w:sz w:val="24"/>
          <w:szCs w:val="24"/>
        </w:rPr>
      </w:pPr>
      <w:r w:rsidRPr="007849B5">
        <w:rPr>
          <w:rFonts w:ascii="Times New Roman" w:eastAsia="Times New Roman" w:hAnsi="Times New Roman" w:cs="Times New Roman"/>
          <w:sz w:val="24"/>
          <w:szCs w:val="24"/>
        </w:rPr>
        <w:t>For Level 3 events, the EHMP shall identify the Event Medical Director and define the clinical-governance and event medical-command arrangements.</w:t>
      </w:r>
    </w:p>
    <w:p w14:paraId="05F02E54" w14:textId="77777777" w:rsidR="005D641A" w:rsidRPr="007849B5" w:rsidRDefault="00000000" w:rsidP="007849B5">
      <w:pPr>
        <w:pStyle w:val="Heading1"/>
        <w:rPr>
          <w:rFonts w:asciiTheme="majorBidi" w:hAnsiTheme="majorBidi"/>
          <w:color w:val="auto"/>
          <w:szCs w:val="24"/>
        </w:rPr>
      </w:pPr>
      <w:r w:rsidRPr="007849B5">
        <w:rPr>
          <w:rFonts w:asciiTheme="majorBidi" w:hAnsiTheme="majorBidi"/>
          <w:color w:val="auto"/>
          <w:szCs w:val="24"/>
        </w:rPr>
        <w:t>7. Roles and Responsibilities</w:t>
      </w:r>
    </w:p>
    <w:p w14:paraId="6186C934" w14:textId="77777777" w:rsidR="007849B5" w:rsidRDefault="007849B5" w:rsidP="007849B5">
      <w:pPr>
        <w:pStyle w:val="pdq2pgselectionanchorcontainer"/>
      </w:pPr>
      <w:r>
        <w:t>The organizer is responsible for overall compliance with this Protocol, including planning, submission, logistics, access arrangements, communications, coordination, and ensuring that the required resources and arrangements are in place.</w:t>
      </w:r>
    </w:p>
    <w:p w14:paraId="0AE1AA8F" w14:textId="77777777" w:rsidR="007849B5" w:rsidRDefault="007849B5" w:rsidP="007849B5">
      <w:pPr>
        <w:pStyle w:val="NormalWeb"/>
      </w:pPr>
      <w:r>
        <w:t>Every event shall identify a responsible organizer contact.</w:t>
      </w:r>
    </w:p>
    <w:p w14:paraId="0E58DB30" w14:textId="77777777" w:rsidR="007849B5" w:rsidRDefault="007849B5" w:rsidP="007849B5">
      <w:pPr>
        <w:pStyle w:val="NormalWeb"/>
      </w:pPr>
      <w:r>
        <w:t>For Level 2 and Level 3 events, the organizer shall identify each participating emergency medical service or medical provider and its operational contact.</w:t>
      </w:r>
    </w:p>
    <w:p w14:paraId="01DD6C80" w14:textId="77777777" w:rsidR="007849B5" w:rsidRDefault="007849B5" w:rsidP="007849B5">
      <w:pPr>
        <w:pStyle w:val="NormalWeb"/>
      </w:pPr>
      <w:r>
        <w:t>Each participating provider remains professionally and organizationally responsible for its personnel, qualifications, authorization, equipment, protocols, clinical practice, patient care, documentation, and services.</w:t>
      </w:r>
    </w:p>
    <w:p w14:paraId="2698167C" w14:textId="77777777" w:rsidR="007849B5" w:rsidRDefault="007849B5" w:rsidP="007849B5">
      <w:pPr>
        <w:pStyle w:val="NormalWeb"/>
      </w:pPr>
      <w:r>
        <w:t>Level 3 events shall appoint a licensed physician Event Medical Director in accordance with Annex B.</w:t>
      </w:r>
    </w:p>
    <w:p w14:paraId="33A35E6E" w14:textId="77777777" w:rsidR="007849B5" w:rsidRDefault="007849B5" w:rsidP="007849B5">
      <w:pPr>
        <w:pStyle w:val="NormalWeb"/>
      </w:pPr>
      <w:r>
        <w:t>The Ministry of Public Health shall review submitted documentation and oversee compliance with this Protocol.</w:t>
      </w:r>
    </w:p>
    <w:p w14:paraId="551D7666" w14:textId="77777777" w:rsidR="005D641A" w:rsidRPr="007849B5" w:rsidRDefault="00000000" w:rsidP="007849B5">
      <w:pPr>
        <w:pStyle w:val="Heading1"/>
        <w:rPr>
          <w:rFonts w:asciiTheme="majorBidi" w:hAnsiTheme="majorBidi"/>
          <w:color w:val="auto"/>
          <w:szCs w:val="24"/>
        </w:rPr>
      </w:pPr>
      <w:r w:rsidRPr="007849B5">
        <w:rPr>
          <w:rFonts w:asciiTheme="majorBidi" w:hAnsiTheme="majorBidi"/>
          <w:color w:val="auto"/>
          <w:szCs w:val="24"/>
        </w:rPr>
        <w:lastRenderedPageBreak/>
        <w:t>8. Notification and Submission</w:t>
      </w:r>
    </w:p>
    <w:p w14:paraId="66541892" w14:textId="77777777" w:rsidR="005D641A" w:rsidRPr="007849B5" w:rsidRDefault="00000000" w:rsidP="007849B5">
      <w:pPr>
        <w:pStyle w:val="Heading2"/>
        <w:rPr>
          <w:rFonts w:asciiTheme="majorBidi" w:hAnsiTheme="majorBidi"/>
          <w:color w:val="auto"/>
          <w:sz w:val="24"/>
          <w:szCs w:val="24"/>
        </w:rPr>
      </w:pPr>
      <w:r w:rsidRPr="007849B5">
        <w:rPr>
          <w:rFonts w:asciiTheme="majorBidi" w:hAnsiTheme="majorBidi"/>
          <w:color w:val="auto"/>
          <w:sz w:val="24"/>
          <w:szCs w:val="24"/>
        </w:rPr>
        <w:t>8.1 Level 1 Notification</w:t>
      </w:r>
    </w:p>
    <w:p w14:paraId="433F79FF"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A Level 1 event subject to this Protocol shall submit Annex A through the official mechanism before final event authorization. Where no external authorization is required, Annex A shall be submitted at least seven (7) calendar days before the event.</w:t>
      </w:r>
    </w:p>
    <w:p w14:paraId="7538071F"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Annex C and a full EHMP are not routinely required for Level 1 unless requested by MOPH or another competent authority.</w:t>
      </w:r>
    </w:p>
    <w:p w14:paraId="01762827" w14:textId="77777777" w:rsidR="005D641A" w:rsidRPr="007849B5" w:rsidRDefault="00000000" w:rsidP="007849B5">
      <w:pPr>
        <w:pStyle w:val="Heading2"/>
        <w:rPr>
          <w:rFonts w:asciiTheme="majorBidi" w:hAnsiTheme="majorBidi"/>
          <w:color w:val="auto"/>
          <w:sz w:val="24"/>
          <w:szCs w:val="24"/>
        </w:rPr>
      </w:pPr>
      <w:r w:rsidRPr="007849B5">
        <w:rPr>
          <w:rFonts w:asciiTheme="majorBidi" w:hAnsiTheme="majorBidi"/>
          <w:color w:val="auto"/>
          <w:sz w:val="24"/>
          <w:szCs w:val="24"/>
        </w:rPr>
        <w:t>8.2 Level 2 Submission</w:t>
      </w:r>
    </w:p>
    <w:p w14:paraId="2CEF0542"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The organizer shall submit Annex A, Annex C, the EHMP, and the event site or route map at least fourteen (14) calendar days before the event.</w:t>
      </w:r>
    </w:p>
    <w:p w14:paraId="68A98B71" w14:textId="77777777" w:rsidR="005D641A" w:rsidRPr="007849B5" w:rsidRDefault="00000000" w:rsidP="007849B5">
      <w:pPr>
        <w:pStyle w:val="Heading2"/>
        <w:rPr>
          <w:rFonts w:asciiTheme="majorBidi" w:hAnsiTheme="majorBidi"/>
          <w:color w:val="auto"/>
          <w:sz w:val="24"/>
          <w:szCs w:val="24"/>
        </w:rPr>
      </w:pPr>
      <w:r w:rsidRPr="007849B5">
        <w:rPr>
          <w:rFonts w:asciiTheme="majorBidi" w:hAnsiTheme="majorBidi"/>
          <w:color w:val="auto"/>
          <w:sz w:val="24"/>
          <w:szCs w:val="24"/>
        </w:rPr>
        <w:t>8.3 Level 3 Submission</w:t>
      </w:r>
    </w:p>
    <w:p w14:paraId="4B576AEB"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The organizer shall submit Annex A, Annex C, the comprehensive EHMP, the site or route map, the medical deployment map, and an EMS Readiness Declaration from each participating EMS agency at least thirty (30) calendar days before the event.</w:t>
      </w:r>
    </w:p>
    <w:p w14:paraId="73AD9B13" w14:textId="77777777" w:rsidR="005D641A" w:rsidRPr="007849B5" w:rsidRDefault="00000000" w:rsidP="007849B5">
      <w:pPr>
        <w:pStyle w:val="Heading2"/>
        <w:rPr>
          <w:rFonts w:asciiTheme="majorBidi" w:hAnsiTheme="majorBidi"/>
          <w:color w:val="auto"/>
          <w:sz w:val="24"/>
          <w:szCs w:val="24"/>
        </w:rPr>
      </w:pPr>
      <w:r w:rsidRPr="007849B5">
        <w:rPr>
          <w:rFonts w:asciiTheme="majorBidi" w:hAnsiTheme="majorBidi"/>
          <w:color w:val="auto"/>
          <w:sz w:val="24"/>
          <w:szCs w:val="24"/>
        </w:rPr>
        <w:t>8.4 Short-Notice Events</w:t>
      </w:r>
    </w:p>
    <w:p w14:paraId="662322B5"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MOPH may accept an expedited submission where the standard timeline cannot reasonably be met. Expedited review does not waive the applicable minimum requirements.</w:t>
      </w:r>
    </w:p>
    <w:p w14:paraId="6CF76EDD" w14:textId="77777777" w:rsidR="005D641A" w:rsidRPr="007849B5" w:rsidRDefault="00000000" w:rsidP="007849B5">
      <w:pPr>
        <w:pStyle w:val="Heading2"/>
        <w:rPr>
          <w:rFonts w:asciiTheme="majorBidi" w:hAnsiTheme="majorBidi"/>
          <w:color w:val="auto"/>
          <w:sz w:val="24"/>
          <w:szCs w:val="24"/>
        </w:rPr>
      </w:pPr>
      <w:r w:rsidRPr="007849B5">
        <w:rPr>
          <w:rFonts w:asciiTheme="majorBidi" w:hAnsiTheme="majorBidi"/>
          <w:color w:val="auto"/>
          <w:sz w:val="24"/>
          <w:szCs w:val="24"/>
        </w:rPr>
        <w:t>8.5 Material Changes, Postponement, or Cancellation</w:t>
      </w:r>
    </w:p>
    <w:p w14:paraId="6B6510D0" w14:textId="65827DD4"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 xml:space="preserve">The organizer shall notify MOPH without undue delay of a material change to attendance, date, duration, venue, route, activity, crowd configuration, </w:t>
      </w:r>
      <w:r w:rsidR="00575382" w:rsidRPr="00575382">
        <w:rPr>
          <w:rFonts w:asciiTheme="majorBidi" w:hAnsiTheme="majorBidi" w:cstheme="majorBidi"/>
          <w:sz w:val="24"/>
          <w:szCs w:val="24"/>
        </w:rPr>
        <w:t>Event Medical Director, where applicable</w:t>
      </w:r>
      <w:r w:rsidRPr="007849B5">
        <w:rPr>
          <w:rFonts w:asciiTheme="majorBidi" w:hAnsiTheme="majorBidi" w:cstheme="majorBidi"/>
          <w:sz w:val="24"/>
          <w:szCs w:val="24"/>
        </w:rPr>
        <w:t>, participating EMS agency, ambulance provision, patient-extraction arrangements, receiving hospital, or other information affecting NEHRAT or the EHMP.</w:t>
      </w:r>
    </w:p>
    <w:p w14:paraId="1F42F76C"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MOPH may require revised Annex A, Annex C, or EHMP documentation.</w:t>
      </w:r>
    </w:p>
    <w:p w14:paraId="671AA773"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The organizer shall notify MOPH of cancellation or postponement as soon as practicable.</w:t>
      </w:r>
    </w:p>
    <w:p w14:paraId="0496CFFB" w14:textId="77777777" w:rsidR="005D641A" w:rsidRPr="007849B5" w:rsidRDefault="00000000" w:rsidP="007849B5">
      <w:pPr>
        <w:pStyle w:val="Heading1"/>
        <w:rPr>
          <w:rFonts w:asciiTheme="majorBidi" w:hAnsiTheme="majorBidi"/>
          <w:color w:val="auto"/>
          <w:szCs w:val="24"/>
        </w:rPr>
      </w:pPr>
      <w:r w:rsidRPr="007849B5">
        <w:rPr>
          <w:rFonts w:asciiTheme="majorBidi" w:hAnsiTheme="majorBidi"/>
          <w:color w:val="auto"/>
          <w:szCs w:val="24"/>
        </w:rPr>
        <w:t>9. Official Submission Mechanism and Portal</w:t>
      </w:r>
    </w:p>
    <w:p w14:paraId="28B5848F"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MOPH shall publish and maintain one official electronic submission mechanism.</w:t>
      </w:r>
    </w:p>
    <w:p w14:paraId="56AB3A83"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A submission is considered received only when the organizer receives an electronic acknowledgment and reference number.</w:t>
      </w:r>
    </w:p>
    <w:p w14:paraId="01F0A842"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Until a dedicated portal is operational, MOPH may use a designated email address or other published electronic filing process.</w:t>
      </w:r>
    </w:p>
    <w:p w14:paraId="08739856"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MOPH should establish a Mass-Gathering Health and Medical Preparedness Portal supporting:</w:t>
      </w:r>
    </w:p>
    <w:p w14:paraId="55A7E31A" w14:textId="77777777" w:rsidR="005D641A" w:rsidRPr="007849B5" w:rsidRDefault="00000000" w:rsidP="007849B5">
      <w:pPr>
        <w:pStyle w:val="ListBullet"/>
        <w:rPr>
          <w:rFonts w:asciiTheme="majorBidi" w:hAnsiTheme="majorBidi" w:cstheme="majorBidi"/>
          <w:sz w:val="24"/>
          <w:szCs w:val="24"/>
        </w:rPr>
      </w:pPr>
      <w:r w:rsidRPr="007849B5">
        <w:rPr>
          <w:rFonts w:asciiTheme="majorBidi" w:hAnsiTheme="majorBidi" w:cstheme="majorBidi"/>
          <w:sz w:val="24"/>
          <w:szCs w:val="24"/>
        </w:rPr>
        <w:t>applicability screening and event notification;</w:t>
      </w:r>
    </w:p>
    <w:p w14:paraId="24C02E56" w14:textId="77777777" w:rsidR="005D641A" w:rsidRPr="007849B5" w:rsidRDefault="00000000" w:rsidP="007849B5">
      <w:pPr>
        <w:pStyle w:val="ListBullet"/>
        <w:rPr>
          <w:rFonts w:asciiTheme="majorBidi" w:hAnsiTheme="majorBidi" w:cstheme="majorBidi"/>
          <w:sz w:val="24"/>
          <w:szCs w:val="24"/>
        </w:rPr>
      </w:pPr>
      <w:r w:rsidRPr="007849B5">
        <w:rPr>
          <w:rFonts w:asciiTheme="majorBidi" w:hAnsiTheme="majorBidi" w:cstheme="majorBidi"/>
          <w:sz w:val="24"/>
          <w:szCs w:val="24"/>
        </w:rPr>
        <w:t>electronic completion and scoring of NEHRAT;</w:t>
      </w:r>
    </w:p>
    <w:p w14:paraId="7BBE51E2" w14:textId="77777777" w:rsidR="005D641A" w:rsidRPr="007849B5" w:rsidRDefault="00000000" w:rsidP="007849B5">
      <w:pPr>
        <w:pStyle w:val="ListBullet"/>
        <w:rPr>
          <w:rFonts w:asciiTheme="majorBidi" w:hAnsiTheme="majorBidi" w:cstheme="majorBidi"/>
          <w:sz w:val="24"/>
          <w:szCs w:val="24"/>
        </w:rPr>
      </w:pPr>
      <w:r w:rsidRPr="007849B5">
        <w:rPr>
          <w:rFonts w:asciiTheme="majorBidi" w:hAnsiTheme="majorBidi" w:cstheme="majorBidi"/>
          <w:sz w:val="24"/>
          <w:szCs w:val="24"/>
        </w:rPr>
        <w:t>upload of Annex C, EHMPs, maps, and supporting documents;</w:t>
      </w:r>
    </w:p>
    <w:p w14:paraId="4F585797" w14:textId="77777777" w:rsidR="005D641A" w:rsidRPr="007849B5" w:rsidRDefault="00000000" w:rsidP="007849B5">
      <w:pPr>
        <w:pStyle w:val="ListBullet"/>
        <w:rPr>
          <w:rFonts w:asciiTheme="majorBidi" w:hAnsiTheme="majorBidi" w:cstheme="majorBidi"/>
          <w:sz w:val="24"/>
          <w:szCs w:val="24"/>
        </w:rPr>
      </w:pPr>
      <w:r w:rsidRPr="007849B5">
        <w:rPr>
          <w:rFonts w:asciiTheme="majorBidi" w:hAnsiTheme="majorBidi" w:cstheme="majorBidi"/>
          <w:sz w:val="24"/>
          <w:szCs w:val="24"/>
        </w:rPr>
        <w:t>participating EMS agency declarations;</w:t>
      </w:r>
    </w:p>
    <w:p w14:paraId="0B252BE0" w14:textId="77777777" w:rsidR="005D641A" w:rsidRPr="007849B5" w:rsidRDefault="00000000" w:rsidP="007849B5">
      <w:pPr>
        <w:pStyle w:val="ListBullet"/>
        <w:rPr>
          <w:rFonts w:asciiTheme="majorBidi" w:hAnsiTheme="majorBidi" w:cstheme="majorBidi"/>
          <w:sz w:val="24"/>
          <w:szCs w:val="24"/>
        </w:rPr>
      </w:pPr>
      <w:r w:rsidRPr="007849B5">
        <w:rPr>
          <w:rFonts w:asciiTheme="majorBidi" w:hAnsiTheme="majorBidi" w:cstheme="majorBidi"/>
          <w:sz w:val="24"/>
          <w:szCs w:val="24"/>
        </w:rPr>
        <w:t>requests for corrections and submission of revisions;</w:t>
      </w:r>
    </w:p>
    <w:p w14:paraId="2C10F90F" w14:textId="77777777" w:rsidR="005D641A" w:rsidRPr="007849B5" w:rsidRDefault="00000000" w:rsidP="007849B5">
      <w:pPr>
        <w:pStyle w:val="ListBullet"/>
        <w:rPr>
          <w:rFonts w:asciiTheme="majorBidi" w:hAnsiTheme="majorBidi" w:cstheme="majorBidi"/>
          <w:sz w:val="24"/>
          <w:szCs w:val="24"/>
        </w:rPr>
      </w:pPr>
      <w:r w:rsidRPr="007849B5">
        <w:rPr>
          <w:rFonts w:asciiTheme="majorBidi" w:hAnsiTheme="majorBidi" w:cstheme="majorBidi"/>
          <w:sz w:val="24"/>
          <w:szCs w:val="24"/>
        </w:rPr>
        <w:t>recording of review status and compliance references;</w:t>
      </w:r>
    </w:p>
    <w:p w14:paraId="222F6F45" w14:textId="77777777" w:rsidR="005D641A" w:rsidRPr="007849B5" w:rsidRDefault="00000000" w:rsidP="007849B5">
      <w:pPr>
        <w:pStyle w:val="ListBullet"/>
        <w:rPr>
          <w:rFonts w:asciiTheme="majorBidi" w:hAnsiTheme="majorBidi" w:cstheme="majorBidi"/>
          <w:sz w:val="24"/>
          <w:szCs w:val="24"/>
        </w:rPr>
      </w:pPr>
      <w:r w:rsidRPr="007849B5">
        <w:rPr>
          <w:rFonts w:asciiTheme="majorBidi" w:hAnsiTheme="majorBidi" w:cstheme="majorBidi"/>
          <w:sz w:val="24"/>
          <w:szCs w:val="24"/>
        </w:rPr>
        <w:t>material-change, postponement, and cancellation notices;</w:t>
      </w:r>
    </w:p>
    <w:p w14:paraId="10CC7419" w14:textId="77777777" w:rsidR="005D641A" w:rsidRPr="007849B5" w:rsidRDefault="00000000" w:rsidP="007849B5">
      <w:pPr>
        <w:pStyle w:val="ListBullet"/>
        <w:rPr>
          <w:rFonts w:asciiTheme="majorBidi" w:hAnsiTheme="majorBidi" w:cstheme="majorBidi"/>
          <w:sz w:val="24"/>
          <w:szCs w:val="24"/>
        </w:rPr>
      </w:pPr>
      <w:r w:rsidRPr="007849B5">
        <w:rPr>
          <w:rFonts w:asciiTheme="majorBidi" w:hAnsiTheme="majorBidi" w:cstheme="majorBidi"/>
          <w:sz w:val="24"/>
          <w:szCs w:val="24"/>
        </w:rPr>
        <w:t>Annex D reporting; and</w:t>
      </w:r>
    </w:p>
    <w:p w14:paraId="0E8EA83F" w14:textId="77777777" w:rsidR="005D641A" w:rsidRPr="007849B5" w:rsidRDefault="00000000" w:rsidP="007849B5">
      <w:pPr>
        <w:pStyle w:val="ListBullet"/>
        <w:rPr>
          <w:rFonts w:asciiTheme="majorBidi" w:hAnsiTheme="majorBidi" w:cstheme="majorBidi"/>
          <w:sz w:val="24"/>
          <w:szCs w:val="24"/>
        </w:rPr>
      </w:pPr>
      <w:r w:rsidRPr="007849B5">
        <w:rPr>
          <w:rFonts w:asciiTheme="majorBidi" w:hAnsiTheme="majorBidi" w:cstheme="majorBidi"/>
          <w:sz w:val="24"/>
          <w:szCs w:val="24"/>
        </w:rPr>
        <w:t>national surveillance, audit, and quality-improvement reporting.</w:t>
      </w:r>
    </w:p>
    <w:p w14:paraId="11D91F1A" w14:textId="77777777" w:rsidR="005D641A" w:rsidRPr="007849B5" w:rsidRDefault="00000000" w:rsidP="007849B5">
      <w:pPr>
        <w:pStyle w:val="Heading1"/>
        <w:rPr>
          <w:rFonts w:asciiTheme="majorBidi" w:hAnsiTheme="majorBidi"/>
          <w:color w:val="auto"/>
          <w:szCs w:val="24"/>
        </w:rPr>
      </w:pPr>
      <w:r w:rsidRPr="007849B5">
        <w:rPr>
          <w:rFonts w:asciiTheme="majorBidi" w:hAnsiTheme="majorBidi"/>
          <w:color w:val="auto"/>
          <w:szCs w:val="24"/>
        </w:rPr>
        <w:t>10. MOPH Review</w:t>
      </w:r>
    </w:p>
    <w:p w14:paraId="518AF459"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MOPH may record a submission as:</w:t>
      </w:r>
    </w:p>
    <w:p w14:paraId="5ACCD43F" w14:textId="77777777" w:rsidR="005D641A" w:rsidRPr="007849B5" w:rsidRDefault="00000000" w:rsidP="007849B5">
      <w:pPr>
        <w:pStyle w:val="ListBullet"/>
        <w:rPr>
          <w:rFonts w:asciiTheme="majorBidi" w:hAnsiTheme="majorBidi" w:cstheme="majorBidi"/>
          <w:sz w:val="24"/>
          <w:szCs w:val="24"/>
        </w:rPr>
      </w:pPr>
      <w:r w:rsidRPr="007849B5">
        <w:rPr>
          <w:rFonts w:asciiTheme="majorBidi" w:hAnsiTheme="majorBidi" w:cstheme="majorBidi"/>
          <w:sz w:val="24"/>
          <w:szCs w:val="24"/>
        </w:rPr>
        <w:t>received but incomplete;</w:t>
      </w:r>
    </w:p>
    <w:p w14:paraId="7EF74D86" w14:textId="77777777" w:rsidR="005D641A" w:rsidRPr="007849B5" w:rsidRDefault="00000000" w:rsidP="007849B5">
      <w:pPr>
        <w:pStyle w:val="ListBullet"/>
        <w:rPr>
          <w:rFonts w:asciiTheme="majorBidi" w:hAnsiTheme="majorBidi" w:cstheme="majorBidi"/>
          <w:sz w:val="24"/>
          <w:szCs w:val="24"/>
        </w:rPr>
      </w:pPr>
      <w:r w:rsidRPr="007849B5">
        <w:rPr>
          <w:rFonts w:asciiTheme="majorBidi" w:hAnsiTheme="majorBidi" w:cstheme="majorBidi"/>
          <w:sz w:val="24"/>
          <w:szCs w:val="24"/>
        </w:rPr>
        <w:t>additional information or revision required; or</w:t>
      </w:r>
    </w:p>
    <w:p w14:paraId="7066094F" w14:textId="77777777" w:rsidR="005D641A" w:rsidRPr="007849B5" w:rsidRDefault="00000000" w:rsidP="007849B5">
      <w:pPr>
        <w:pStyle w:val="ListBullet"/>
        <w:rPr>
          <w:rFonts w:asciiTheme="majorBidi" w:hAnsiTheme="majorBidi" w:cstheme="majorBidi"/>
          <w:sz w:val="24"/>
          <w:szCs w:val="24"/>
        </w:rPr>
      </w:pPr>
      <w:r w:rsidRPr="007849B5">
        <w:rPr>
          <w:rFonts w:asciiTheme="majorBidi" w:hAnsiTheme="majorBidi" w:cstheme="majorBidi"/>
          <w:sz w:val="24"/>
          <w:szCs w:val="24"/>
        </w:rPr>
        <w:t>health and medical preparedness requirements satisfied.</w:t>
      </w:r>
    </w:p>
    <w:p w14:paraId="158010AA"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MOPH may request additional measures where necessary to satisfy the requirements of this Protocol and Annex B.</w:t>
      </w:r>
    </w:p>
    <w:p w14:paraId="6D0C1210"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lastRenderedPageBreak/>
        <w:t>The MOPH status does not replace any other permit or authorization required under Lebanese law.</w:t>
      </w:r>
    </w:p>
    <w:p w14:paraId="031DD485" w14:textId="77777777" w:rsidR="005D641A" w:rsidRPr="007849B5" w:rsidRDefault="00000000" w:rsidP="007849B5">
      <w:pPr>
        <w:pStyle w:val="Heading1"/>
        <w:rPr>
          <w:rFonts w:asciiTheme="majorBidi" w:hAnsiTheme="majorBidi"/>
          <w:color w:val="auto"/>
          <w:szCs w:val="24"/>
        </w:rPr>
      </w:pPr>
      <w:r w:rsidRPr="007849B5">
        <w:rPr>
          <w:rFonts w:asciiTheme="majorBidi" w:hAnsiTheme="majorBidi"/>
          <w:color w:val="auto"/>
          <w:szCs w:val="24"/>
        </w:rPr>
        <w:t>11. Medical Operations</w:t>
      </w:r>
    </w:p>
    <w:p w14:paraId="5FFBF7EE" w14:textId="77777777" w:rsidR="007849B5" w:rsidRDefault="007849B5" w:rsidP="007849B5">
      <w:pPr>
        <w:pStyle w:val="pdq2pgselectionanchorcontainer"/>
      </w:pPr>
      <w:r>
        <w:t>Medical operations shall comply with the minimum requirements established in Annex B.</w:t>
      </w:r>
    </w:p>
    <w:p w14:paraId="60635627" w14:textId="77777777" w:rsidR="007849B5" w:rsidRDefault="007849B5" w:rsidP="007849B5">
      <w:pPr>
        <w:pStyle w:val="NormalWeb"/>
      </w:pPr>
      <w:r>
        <w:t>Level 2 events shall document coordination between the organizer and participating emergency medical service or medical providers, including operational contacts, deployment, communications, escalation arrangements, ambulance access, patient extraction, and receiving emergency departments.</w:t>
      </w:r>
    </w:p>
    <w:p w14:paraId="5DECF733" w14:textId="77777777" w:rsidR="007849B5" w:rsidRDefault="007849B5" w:rsidP="007849B5">
      <w:pPr>
        <w:pStyle w:val="NormalWeb"/>
      </w:pPr>
      <w:r>
        <w:t>Level 3 events shall appoint a licensed physician Event Medical Director responsible for integrated medical planning, clinical governance, and event medical command.</w:t>
      </w:r>
    </w:p>
    <w:p w14:paraId="66D441FB" w14:textId="77777777" w:rsidR="007849B5" w:rsidRDefault="007849B5" w:rsidP="007849B5">
      <w:pPr>
        <w:pStyle w:val="NormalWeb"/>
      </w:pPr>
      <w:r>
        <w:t>Participating emergency medical service agencies shall complete the EMS Readiness Declaration where required by Annex C.</w:t>
      </w:r>
    </w:p>
    <w:p w14:paraId="63333392" w14:textId="77777777" w:rsidR="005D641A" w:rsidRPr="007849B5" w:rsidRDefault="00000000" w:rsidP="007849B5">
      <w:pPr>
        <w:pStyle w:val="Heading1"/>
        <w:rPr>
          <w:rFonts w:asciiTheme="majorBidi" w:hAnsiTheme="majorBidi"/>
          <w:color w:val="auto"/>
          <w:szCs w:val="24"/>
        </w:rPr>
      </w:pPr>
      <w:r w:rsidRPr="007849B5">
        <w:rPr>
          <w:rFonts w:asciiTheme="majorBidi" w:hAnsiTheme="majorBidi"/>
          <w:color w:val="auto"/>
          <w:szCs w:val="24"/>
        </w:rPr>
        <w:t>12. Major-Incident and Mass-Casualty Preparedness</w:t>
      </w:r>
    </w:p>
    <w:p w14:paraId="299B283A" w14:textId="77777777" w:rsidR="007849B5" w:rsidRDefault="007849B5" w:rsidP="007849B5">
      <w:pPr>
        <w:pStyle w:val="pdq2pgselectionanchorcontainer"/>
      </w:pPr>
      <w:r>
        <w:t>Level 2 and Level 3 events shall include a documented major-incident and mass-casualty response plan.</w:t>
      </w:r>
    </w:p>
    <w:p w14:paraId="40630FD6" w14:textId="77777777" w:rsidR="007849B5" w:rsidRDefault="007849B5" w:rsidP="007849B5">
      <w:pPr>
        <w:pStyle w:val="NormalWeb"/>
      </w:pPr>
      <w:r>
        <w:t>The plan shall define activation criteria, responsibilities, communications, triage, casualty collection, ambulance loading, receiving hospitals, resource escalation, continuity of event medical coverage, and event suspension or evacuation procedures.</w:t>
      </w:r>
    </w:p>
    <w:p w14:paraId="2D7FE129" w14:textId="77777777" w:rsidR="007849B5" w:rsidRDefault="007849B5" w:rsidP="007849B5">
      <w:pPr>
        <w:pStyle w:val="NormalWeb"/>
      </w:pPr>
      <w:r>
        <w:t>For Level 3 events, the plan shall additionally define the Event Medical Director’s role within the medical-command and overall incident-management structure.</w:t>
      </w:r>
    </w:p>
    <w:p w14:paraId="5D2AD06C" w14:textId="4DA4272E" w:rsidR="005D641A" w:rsidRPr="007849B5" w:rsidRDefault="00000000" w:rsidP="007849B5">
      <w:pPr>
        <w:pStyle w:val="NormalWeb"/>
      </w:pPr>
      <w:r w:rsidRPr="007849B5">
        <w:rPr>
          <w:rFonts w:asciiTheme="majorBidi" w:hAnsiTheme="majorBidi" w:cstheme="majorBidi"/>
        </w:rPr>
        <w:t>The plan shall identify:</w:t>
      </w:r>
    </w:p>
    <w:p w14:paraId="4E8AB4F2" w14:textId="77777777" w:rsidR="005D641A" w:rsidRPr="007849B5" w:rsidRDefault="00000000" w:rsidP="007849B5">
      <w:pPr>
        <w:pStyle w:val="ListBullet"/>
        <w:rPr>
          <w:rFonts w:asciiTheme="majorBidi" w:hAnsiTheme="majorBidi" w:cstheme="majorBidi"/>
          <w:sz w:val="24"/>
          <w:szCs w:val="24"/>
        </w:rPr>
      </w:pPr>
      <w:r w:rsidRPr="007849B5">
        <w:rPr>
          <w:rFonts w:asciiTheme="majorBidi" w:hAnsiTheme="majorBidi" w:cstheme="majorBidi"/>
          <w:sz w:val="24"/>
          <w:szCs w:val="24"/>
        </w:rPr>
        <w:t>activation criteria and who may declare or recommend a major incident;</w:t>
      </w:r>
    </w:p>
    <w:p w14:paraId="3A4C8F77" w14:textId="3133AEAF" w:rsidR="005D641A" w:rsidRPr="007849B5" w:rsidRDefault="00575382" w:rsidP="007849B5">
      <w:pPr>
        <w:pStyle w:val="ListBullet"/>
        <w:rPr>
          <w:rFonts w:asciiTheme="majorBidi" w:hAnsiTheme="majorBidi" w:cstheme="majorBidi"/>
          <w:sz w:val="24"/>
          <w:szCs w:val="24"/>
        </w:rPr>
      </w:pPr>
      <w:r w:rsidRPr="00575382">
        <w:rPr>
          <w:rFonts w:asciiTheme="majorBidi" w:hAnsiTheme="majorBidi" w:cstheme="majorBidi"/>
          <w:sz w:val="24"/>
          <w:szCs w:val="24"/>
        </w:rPr>
        <w:t>operational coordination and integration with the overall incident-management structure, including event medical command for Level 3 events</w:t>
      </w:r>
      <w:r w:rsidRPr="007849B5">
        <w:rPr>
          <w:rFonts w:asciiTheme="majorBidi" w:hAnsiTheme="majorBidi" w:cstheme="majorBidi"/>
          <w:sz w:val="24"/>
          <w:szCs w:val="24"/>
        </w:rPr>
        <w:t>;</w:t>
      </w:r>
    </w:p>
    <w:p w14:paraId="2628A31F" w14:textId="77777777" w:rsidR="005D641A" w:rsidRPr="007849B5" w:rsidRDefault="00000000" w:rsidP="007849B5">
      <w:pPr>
        <w:pStyle w:val="ListBullet"/>
        <w:rPr>
          <w:rFonts w:asciiTheme="majorBidi" w:hAnsiTheme="majorBidi" w:cstheme="majorBidi"/>
          <w:sz w:val="24"/>
          <w:szCs w:val="24"/>
        </w:rPr>
      </w:pPr>
      <w:r w:rsidRPr="007849B5">
        <w:rPr>
          <w:rFonts w:asciiTheme="majorBidi" w:hAnsiTheme="majorBidi" w:cstheme="majorBidi"/>
          <w:sz w:val="24"/>
          <w:szCs w:val="24"/>
        </w:rPr>
        <w:t>primary and backup communications;</w:t>
      </w:r>
    </w:p>
    <w:p w14:paraId="00069C68" w14:textId="77777777" w:rsidR="005D641A" w:rsidRPr="007849B5" w:rsidRDefault="00000000" w:rsidP="007849B5">
      <w:pPr>
        <w:pStyle w:val="ListBullet"/>
        <w:rPr>
          <w:rFonts w:asciiTheme="majorBidi" w:hAnsiTheme="majorBidi" w:cstheme="majorBidi"/>
          <w:sz w:val="24"/>
          <w:szCs w:val="24"/>
        </w:rPr>
      </w:pPr>
      <w:r w:rsidRPr="007849B5">
        <w:rPr>
          <w:rFonts w:asciiTheme="majorBidi" w:hAnsiTheme="majorBidi" w:cstheme="majorBidi"/>
          <w:sz w:val="24"/>
          <w:szCs w:val="24"/>
        </w:rPr>
        <w:t>one triage method for all participating medical teams;</w:t>
      </w:r>
    </w:p>
    <w:p w14:paraId="18AAE17B" w14:textId="77777777" w:rsidR="005D641A" w:rsidRPr="007849B5" w:rsidRDefault="00000000" w:rsidP="007849B5">
      <w:pPr>
        <w:pStyle w:val="ListBullet"/>
        <w:rPr>
          <w:rFonts w:asciiTheme="majorBidi" w:hAnsiTheme="majorBidi" w:cstheme="majorBidi"/>
          <w:sz w:val="24"/>
          <w:szCs w:val="24"/>
        </w:rPr>
      </w:pPr>
      <w:r w:rsidRPr="007849B5">
        <w:rPr>
          <w:rFonts w:asciiTheme="majorBidi" w:hAnsiTheme="majorBidi" w:cstheme="majorBidi"/>
          <w:sz w:val="24"/>
          <w:szCs w:val="24"/>
        </w:rPr>
        <w:t>casualty collection and treatment areas;</w:t>
      </w:r>
    </w:p>
    <w:p w14:paraId="6E98D8CA" w14:textId="77777777" w:rsidR="005D641A" w:rsidRPr="007849B5" w:rsidRDefault="00000000" w:rsidP="007849B5">
      <w:pPr>
        <w:pStyle w:val="ListBullet"/>
        <w:rPr>
          <w:rFonts w:asciiTheme="majorBidi" w:hAnsiTheme="majorBidi" w:cstheme="majorBidi"/>
          <w:sz w:val="24"/>
          <w:szCs w:val="24"/>
        </w:rPr>
      </w:pPr>
      <w:r w:rsidRPr="007849B5">
        <w:rPr>
          <w:rFonts w:asciiTheme="majorBidi" w:hAnsiTheme="majorBidi" w:cstheme="majorBidi"/>
          <w:sz w:val="24"/>
          <w:szCs w:val="24"/>
        </w:rPr>
        <w:t>ambulance loading points and access routes;</w:t>
      </w:r>
    </w:p>
    <w:p w14:paraId="78C1B236" w14:textId="77777777" w:rsidR="005D641A" w:rsidRPr="007849B5" w:rsidRDefault="00000000" w:rsidP="007849B5">
      <w:pPr>
        <w:pStyle w:val="ListBullet"/>
        <w:rPr>
          <w:rFonts w:asciiTheme="majorBidi" w:hAnsiTheme="majorBidi" w:cstheme="majorBidi"/>
          <w:sz w:val="24"/>
          <w:szCs w:val="24"/>
        </w:rPr>
      </w:pPr>
      <w:r w:rsidRPr="007849B5">
        <w:rPr>
          <w:rFonts w:asciiTheme="majorBidi" w:hAnsiTheme="majorBidi" w:cstheme="majorBidi"/>
          <w:sz w:val="24"/>
          <w:szCs w:val="24"/>
        </w:rPr>
        <w:t>procedures for requesting additional EMS and public resources;</w:t>
      </w:r>
    </w:p>
    <w:p w14:paraId="39DEC0C5" w14:textId="77777777" w:rsidR="005D641A" w:rsidRPr="007849B5" w:rsidRDefault="00000000" w:rsidP="007849B5">
      <w:pPr>
        <w:pStyle w:val="ListBullet"/>
        <w:rPr>
          <w:rFonts w:asciiTheme="majorBidi" w:hAnsiTheme="majorBidi" w:cstheme="majorBidi"/>
          <w:sz w:val="24"/>
          <w:szCs w:val="24"/>
        </w:rPr>
      </w:pPr>
      <w:r w:rsidRPr="007849B5">
        <w:rPr>
          <w:rFonts w:asciiTheme="majorBidi" w:hAnsiTheme="majorBidi" w:cstheme="majorBidi"/>
          <w:sz w:val="24"/>
          <w:szCs w:val="24"/>
        </w:rPr>
        <w:t>receiving-hospital notification and patient distribution;</w:t>
      </w:r>
    </w:p>
    <w:p w14:paraId="319628D9" w14:textId="77777777" w:rsidR="005D641A" w:rsidRPr="007849B5" w:rsidRDefault="00000000" w:rsidP="007849B5">
      <w:pPr>
        <w:pStyle w:val="ListBullet"/>
        <w:rPr>
          <w:rFonts w:asciiTheme="majorBidi" w:hAnsiTheme="majorBidi" w:cstheme="majorBidi"/>
          <w:sz w:val="24"/>
          <w:szCs w:val="24"/>
        </w:rPr>
      </w:pPr>
      <w:r w:rsidRPr="007849B5">
        <w:rPr>
          <w:rFonts w:asciiTheme="majorBidi" w:hAnsiTheme="majorBidi" w:cstheme="majorBidi"/>
          <w:sz w:val="24"/>
          <w:szCs w:val="24"/>
        </w:rPr>
        <w:t>continuity of routine event medical coverage;</w:t>
      </w:r>
    </w:p>
    <w:p w14:paraId="68A9DA28" w14:textId="77777777" w:rsidR="005D641A" w:rsidRPr="007849B5" w:rsidRDefault="00000000" w:rsidP="007849B5">
      <w:pPr>
        <w:pStyle w:val="ListBullet"/>
        <w:rPr>
          <w:rFonts w:asciiTheme="majorBidi" w:hAnsiTheme="majorBidi" w:cstheme="majorBidi"/>
          <w:sz w:val="24"/>
          <w:szCs w:val="24"/>
        </w:rPr>
      </w:pPr>
      <w:r w:rsidRPr="007849B5">
        <w:rPr>
          <w:rFonts w:asciiTheme="majorBidi" w:hAnsiTheme="majorBidi" w:cstheme="majorBidi"/>
          <w:sz w:val="24"/>
          <w:szCs w:val="24"/>
        </w:rPr>
        <w:t>authority and communication for event suspension, evacuation, or termination; and</w:t>
      </w:r>
    </w:p>
    <w:p w14:paraId="57231BC1" w14:textId="77777777" w:rsidR="005D641A" w:rsidRPr="007849B5" w:rsidRDefault="00000000" w:rsidP="007849B5">
      <w:pPr>
        <w:pStyle w:val="ListBullet"/>
        <w:rPr>
          <w:rFonts w:asciiTheme="majorBidi" w:hAnsiTheme="majorBidi" w:cstheme="majorBidi"/>
          <w:sz w:val="24"/>
          <w:szCs w:val="24"/>
        </w:rPr>
      </w:pPr>
      <w:r w:rsidRPr="007849B5">
        <w:rPr>
          <w:rFonts w:asciiTheme="majorBidi" w:hAnsiTheme="majorBidi" w:cstheme="majorBidi"/>
          <w:sz w:val="24"/>
          <w:szCs w:val="24"/>
        </w:rPr>
        <w:t>patient identification, tracking, and reunification arrangements where applicable.</w:t>
      </w:r>
    </w:p>
    <w:p w14:paraId="78EC922D"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For Level 3 events, each participating EMS agency shall review and confirm its role through Annex C.</w:t>
      </w:r>
    </w:p>
    <w:p w14:paraId="26B0CB19" w14:textId="77777777" w:rsidR="005D641A" w:rsidRPr="007849B5" w:rsidRDefault="00000000" w:rsidP="007849B5">
      <w:pPr>
        <w:pStyle w:val="Heading1"/>
        <w:rPr>
          <w:rFonts w:asciiTheme="majorBidi" w:hAnsiTheme="majorBidi"/>
          <w:color w:val="auto"/>
          <w:szCs w:val="24"/>
        </w:rPr>
      </w:pPr>
      <w:r w:rsidRPr="007849B5">
        <w:rPr>
          <w:rFonts w:asciiTheme="majorBidi" w:hAnsiTheme="majorBidi"/>
          <w:color w:val="auto"/>
          <w:szCs w:val="24"/>
        </w:rPr>
        <w:t>13. Incident Notification and Post-Event Reporting</w:t>
      </w:r>
    </w:p>
    <w:p w14:paraId="676C5692"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A cardiac arrest, death, major incident, or interruption or termination for medical reasons shall be notified to MOPH as soon as practicable and no later than twenty-four (24) hours after the occurrence.</w:t>
      </w:r>
    </w:p>
    <w:p w14:paraId="42420CBC"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Annex D shall be submitted within seven (7) calendar days after every Level 3 event, after a reportable event at Level 1 or Level 2, or when requested by MOPH.</w:t>
      </w:r>
    </w:p>
    <w:p w14:paraId="7AEF5F23"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Post-event information may be used for surveillance, quality improvement, future NEHRAT scoring, and revision of national standards.</w:t>
      </w:r>
    </w:p>
    <w:p w14:paraId="4C21AF8F" w14:textId="77777777" w:rsidR="005D641A" w:rsidRPr="007849B5" w:rsidRDefault="00000000" w:rsidP="007849B5">
      <w:pPr>
        <w:pStyle w:val="Heading1"/>
        <w:rPr>
          <w:rFonts w:asciiTheme="majorBidi" w:hAnsiTheme="majorBidi"/>
          <w:color w:val="auto"/>
          <w:szCs w:val="24"/>
        </w:rPr>
      </w:pPr>
      <w:r w:rsidRPr="007849B5">
        <w:rPr>
          <w:rFonts w:asciiTheme="majorBidi" w:hAnsiTheme="majorBidi"/>
          <w:color w:val="auto"/>
          <w:szCs w:val="24"/>
        </w:rPr>
        <w:lastRenderedPageBreak/>
        <w:t>14. Records, Data, and Confidentiality</w:t>
      </w:r>
    </w:p>
    <w:p w14:paraId="4358E5BA"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Organizers and medical providers shall maintain records required by this Protocol and applicable Lebanese requirements.</w:t>
      </w:r>
    </w:p>
    <w:p w14:paraId="4471F62C"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Annex D shall contain aggregate event data and shall not include unnecessary personally identifiable medical information.</w:t>
      </w:r>
    </w:p>
    <w:p w14:paraId="62FDDB83"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MOPH may publish aggregated national findings that do not identify individual patients.</w:t>
      </w:r>
    </w:p>
    <w:p w14:paraId="3FDB0F26" w14:textId="77777777" w:rsidR="005D641A" w:rsidRPr="007849B5" w:rsidRDefault="00000000" w:rsidP="007849B5">
      <w:pPr>
        <w:pStyle w:val="Heading1"/>
        <w:rPr>
          <w:rFonts w:asciiTheme="majorBidi" w:hAnsiTheme="majorBidi"/>
          <w:color w:val="auto"/>
          <w:szCs w:val="24"/>
        </w:rPr>
      </w:pPr>
      <w:r w:rsidRPr="007849B5">
        <w:rPr>
          <w:rFonts w:asciiTheme="majorBidi" w:hAnsiTheme="majorBidi"/>
          <w:color w:val="auto"/>
          <w:szCs w:val="24"/>
        </w:rPr>
        <w:t>15. Review and Continuous Improvement</w:t>
      </w:r>
    </w:p>
    <w:p w14:paraId="51E1077C" w14:textId="77777777" w:rsidR="005D641A" w:rsidRPr="007849B5" w:rsidRDefault="00000000" w:rsidP="007849B5">
      <w:pPr>
        <w:rPr>
          <w:rFonts w:asciiTheme="majorBidi" w:hAnsiTheme="majorBidi" w:cstheme="majorBidi"/>
          <w:sz w:val="24"/>
          <w:szCs w:val="24"/>
        </w:rPr>
      </w:pPr>
      <w:r w:rsidRPr="007849B5">
        <w:rPr>
          <w:rFonts w:asciiTheme="majorBidi" w:hAnsiTheme="majorBidi" w:cstheme="majorBidi"/>
          <w:sz w:val="24"/>
          <w:szCs w:val="24"/>
        </w:rPr>
        <w:t>MOPH may periodically revise this Protocol, its annexes, non-binding guidance, and electronic systems based on scientific evidence, international practice, Lebanese operational experience, post-event data, stakeholder review, and developments in national health and emergency-response capability.</w:t>
      </w:r>
    </w:p>
    <w:p w14:paraId="40E9025A" w14:textId="77777777" w:rsidR="005D641A" w:rsidRPr="007849B5" w:rsidRDefault="00000000" w:rsidP="007849B5">
      <w:pPr>
        <w:pStyle w:val="Heading1"/>
        <w:rPr>
          <w:rFonts w:asciiTheme="majorBidi" w:hAnsiTheme="majorBidi"/>
          <w:color w:val="auto"/>
          <w:szCs w:val="24"/>
        </w:rPr>
      </w:pPr>
      <w:r w:rsidRPr="007849B5">
        <w:rPr>
          <w:rFonts w:asciiTheme="majorBidi" w:hAnsiTheme="majorBidi"/>
          <w:color w:val="auto"/>
          <w:szCs w:val="24"/>
        </w:rPr>
        <w:t>Relationship to the Framework</w:t>
      </w:r>
    </w:p>
    <w:p w14:paraId="460C1C86" w14:textId="77777777" w:rsidR="005D641A" w:rsidRPr="007849B5" w:rsidRDefault="00000000" w:rsidP="007849B5">
      <w:pPr>
        <w:pStyle w:val="ListBullet"/>
        <w:rPr>
          <w:rFonts w:asciiTheme="majorBidi" w:hAnsiTheme="majorBidi" w:cstheme="majorBidi"/>
          <w:sz w:val="24"/>
          <w:szCs w:val="24"/>
        </w:rPr>
      </w:pPr>
      <w:r w:rsidRPr="007849B5">
        <w:rPr>
          <w:rFonts w:asciiTheme="majorBidi" w:hAnsiTheme="majorBidi" w:cstheme="majorBidi"/>
          <w:sz w:val="24"/>
          <w:szCs w:val="24"/>
        </w:rPr>
        <w:t>Ministerial Decision — legal authority;</w:t>
      </w:r>
    </w:p>
    <w:p w14:paraId="59AF14BF" w14:textId="77777777" w:rsidR="005D641A" w:rsidRPr="007849B5" w:rsidRDefault="00000000" w:rsidP="007849B5">
      <w:pPr>
        <w:pStyle w:val="ListBullet"/>
        <w:rPr>
          <w:rFonts w:asciiTheme="majorBidi" w:hAnsiTheme="majorBidi" w:cstheme="majorBidi"/>
          <w:sz w:val="24"/>
          <w:szCs w:val="24"/>
        </w:rPr>
      </w:pPr>
      <w:r w:rsidRPr="007849B5">
        <w:rPr>
          <w:rFonts w:asciiTheme="majorBidi" w:hAnsiTheme="majorBidi" w:cstheme="majorBidi"/>
          <w:sz w:val="24"/>
          <w:szCs w:val="24"/>
        </w:rPr>
        <w:t>Annex A — National Event Health Risk Assessment Tool (NEHRAT);</w:t>
      </w:r>
    </w:p>
    <w:p w14:paraId="2CBBDBF3" w14:textId="77777777" w:rsidR="005D641A" w:rsidRPr="007849B5" w:rsidRDefault="00000000" w:rsidP="007849B5">
      <w:pPr>
        <w:pStyle w:val="ListBullet"/>
        <w:rPr>
          <w:rFonts w:asciiTheme="majorBidi" w:hAnsiTheme="majorBidi" w:cstheme="majorBidi"/>
          <w:sz w:val="24"/>
          <w:szCs w:val="24"/>
        </w:rPr>
      </w:pPr>
      <w:r w:rsidRPr="007849B5">
        <w:rPr>
          <w:rFonts w:asciiTheme="majorBidi" w:hAnsiTheme="majorBidi" w:cstheme="majorBidi"/>
          <w:sz w:val="24"/>
          <w:szCs w:val="24"/>
        </w:rPr>
        <w:t>Annex B — Minimum Health and Medical Preparedness Requirements Matrix;</w:t>
      </w:r>
    </w:p>
    <w:p w14:paraId="3DF1B6B8" w14:textId="77777777" w:rsidR="005D641A" w:rsidRPr="007849B5" w:rsidRDefault="00000000" w:rsidP="007849B5">
      <w:pPr>
        <w:pStyle w:val="ListBullet"/>
        <w:rPr>
          <w:rFonts w:asciiTheme="majorBidi" w:hAnsiTheme="majorBidi" w:cstheme="majorBidi"/>
          <w:sz w:val="24"/>
          <w:szCs w:val="24"/>
        </w:rPr>
      </w:pPr>
      <w:r w:rsidRPr="007849B5">
        <w:rPr>
          <w:rFonts w:asciiTheme="majorBidi" w:hAnsiTheme="majorBidi" w:cstheme="majorBidi"/>
          <w:sz w:val="24"/>
          <w:szCs w:val="24"/>
        </w:rPr>
        <w:t>Annex C — Event Health and Medical Preparedness Compliance and Submission Form;</w:t>
      </w:r>
    </w:p>
    <w:p w14:paraId="7CFB8895" w14:textId="77777777" w:rsidR="005D641A" w:rsidRPr="007849B5" w:rsidRDefault="00000000" w:rsidP="007849B5">
      <w:pPr>
        <w:pStyle w:val="ListBullet"/>
        <w:rPr>
          <w:rFonts w:asciiTheme="majorBidi" w:hAnsiTheme="majorBidi" w:cstheme="majorBidi"/>
          <w:sz w:val="24"/>
          <w:szCs w:val="24"/>
        </w:rPr>
      </w:pPr>
      <w:r w:rsidRPr="007849B5">
        <w:rPr>
          <w:rFonts w:asciiTheme="majorBidi" w:hAnsiTheme="majorBidi" w:cstheme="majorBidi"/>
          <w:sz w:val="24"/>
          <w:szCs w:val="24"/>
        </w:rPr>
        <w:t>Annex D — Post-Event Medical Report; and</w:t>
      </w:r>
    </w:p>
    <w:p w14:paraId="58B3B0DE" w14:textId="77777777" w:rsidR="005D641A" w:rsidRPr="007849B5" w:rsidRDefault="00000000" w:rsidP="007849B5">
      <w:pPr>
        <w:pStyle w:val="ListBullet"/>
        <w:rPr>
          <w:rFonts w:asciiTheme="majorBidi" w:hAnsiTheme="majorBidi" w:cstheme="majorBidi"/>
          <w:sz w:val="24"/>
          <w:szCs w:val="24"/>
        </w:rPr>
      </w:pPr>
      <w:r w:rsidRPr="007849B5">
        <w:rPr>
          <w:rFonts w:asciiTheme="majorBidi" w:hAnsiTheme="majorBidi" w:cstheme="majorBidi"/>
          <w:sz w:val="24"/>
          <w:szCs w:val="24"/>
        </w:rPr>
        <w:t>Guidance for Preparing Event Health &amp; Medical Plans — non-binding implementation guidance.</w:t>
      </w:r>
    </w:p>
    <w:sectPr w:rsidR="005D641A" w:rsidRPr="007849B5" w:rsidSect="00034616">
      <w:pgSz w:w="12240" w:h="15840"/>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014017"/>
    <w:multiLevelType w:val="multilevel"/>
    <w:tmpl w:val="0A9E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893320">
    <w:abstractNumId w:val="8"/>
  </w:num>
  <w:num w:numId="2" w16cid:durableId="1023366506">
    <w:abstractNumId w:val="6"/>
  </w:num>
  <w:num w:numId="3" w16cid:durableId="556742690">
    <w:abstractNumId w:val="5"/>
  </w:num>
  <w:num w:numId="4" w16cid:durableId="1655337442">
    <w:abstractNumId w:val="4"/>
  </w:num>
  <w:num w:numId="5" w16cid:durableId="1903559729">
    <w:abstractNumId w:val="7"/>
  </w:num>
  <w:num w:numId="6" w16cid:durableId="1822648901">
    <w:abstractNumId w:val="3"/>
  </w:num>
  <w:num w:numId="7" w16cid:durableId="78412629">
    <w:abstractNumId w:val="2"/>
  </w:num>
  <w:num w:numId="8" w16cid:durableId="1808891373">
    <w:abstractNumId w:val="1"/>
  </w:num>
  <w:num w:numId="9" w16cid:durableId="1945460013">
    <w:abstractNumId w:val="0"/>
  </w:num>
  <w:num w:numId="10" w16cid:durableId="1130786286">
    <w:abstractNumId w:val="9"/>
  </w:num>
  <w:num w:numId="11" w16cid:durableId="1845702440">
    <w:abstractNumId w:val="8"/>
  </w:num>
  <w:num w:numId="12" w16cid:durableId="369692700">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4451"/>
    <w:rsid w:val="0029639D"/>
    <w:rsid w:val="002D7574"/>
    <w:rsid w:val="00326F90"/>
    <w:rsid w:val="00575382"/>
    <w:rsid w:val="005D641A"/>
    <w:rsid w:val="007849B5"/>
    <w:rsid w:val="008C4F2A"/>
    <w:rsid w:val="00A1722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D6971A"/>
  <w14:defaultImageDpi w14:val="300"/>
  <w15:docId w15:val="{A65C2568-951B-F743-B4EA-2CE0C804A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Arial" w:hAnsi="Arial"/>
      <w:sz w:val="19"/>
    </w:rPr>
  </w:style>
  <w:style w:type="paragraph" w:styleId="Heading1">
    <w:name w:val="heading 1"/>
    <w:basedOn w:val="Normal"/>
    <w:next w:val="Normal"/>
    <w:link w:val="Heading1Char"/>
    <w:uiPriority w:val="9"/>
    <w:qFormat/>
    <w:rsid w:val="00FC693F"/>
    <w:pPr>
      <w:keepNext/>
      <w:keepLines/>
      <w:spacing w:before="10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10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7849B5"/>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7849B5"/>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1807</Words>
  <Characters>10304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Mazen El Sayed</dc:creator>
  <cp:keywords/>
  <dc:description/>
  <cp:lastModifiedBy>Mazen El Sayed</cp:lastModifiedBy>
  <cp:revision>5</cp:revision>
  <dcterms:created xsi:type="dcterms:W3CDTF">2013-12-23T23:15:00Z</dcterms:created>
  <dcterms:modified xsi:type="dcterms:W3CDTF">2026-08-12T04:51:00Z</dcterms:modified>
  <cp:category/>
</cp:coreProperties>
</file>