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Engineering Brief: Evaluating Distributed Microservices vs Modular Monolith</w:t>
      </w:r>
    </w:p>
    <w:p>
      <w:r>
        <w:t>Engineering organizations frequently encounter structural scalability challenges as codebase complexity and developer headcounts expand.</w:t>
      </w:r>
    </w:p>
    <w:p>
      <w:r>
        <w:t>In our benchmarking of an enterprise financial transaction pipeline processing 45,000 requests per second, a microservice architecture spanning 18 discrete services incurred an average inter-service network latency overhead of 84 milliseconds per transaction. Serialized JSON RPC and gRPC calls contributed 42% of total compute latency.</w:t>
      </w:r>
    </w:p>
    <w:p>
      <w:r>
        <w:t>Conversely, an in-process modular monolith executing transactions via memory pointers and domain boundaries completed identical operations in 11 milliseconds, representing an 86.9% latency reduction.</w:t>
      </w:r>
    </w:p>
    <w:p>
      <w:r>
        <w:t>Cloud infrastructure expenditures totaled ,000 monthly for the microservice cluster, compared to ,500 monthly for horizontally scaled modular monolith pods on Amazon Web Services (AWS) Graviton instances - a 72.8% infrastructure cost savings.</w:t>
      </w:r>
    </w:p>
    <w:p>
      <w:r>
        <w:t>Teams should default to a well-structured Modular Monolith with strictly enforced domain boundaries, dependency injection, and isolated database schemas before prematurely decomposing systems into distributed microservices.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