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Day7                         SIGNAL Handling                                          24/7/24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1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51435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ALARM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86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25050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Develop a C++ application that demonstrates effective signal handling using SIGALRM, SIGDEFAULT, and SIG_IGN. The program should: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 up a timer using alarm() to generate a SIGALRM signal after a specified interval.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Define a signal handler function to process the SIGALRM signal and perform specific actions, such as printing a message, updating a counter, or triggering an event.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Implement logic to handle other signals (e.g., SIGINT, SIGTERM) using SIGDEFAULT or SIG_IGN as appropriate.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Explore the behavior of the application under different signal combinations and handling strategies.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Additional Considerations: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Consider the impact of signal handling on program execution and potential race conditions.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Investigate the use of sigaction for more advanced signal handling capabilities.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Explore the application of signal handling in real-world scenarios, such as timeouts, asynchronous events, and error handling.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66"/>
          <w:szCs w:val="66"/>
        </w:rPr>
      </w:pPr>
      <w:r w:rsidDel="00000000" w:rsidR="00000000" w:rsidRPr="00000000">
        <w:rPr>
          <w:b w:val="1"/>
          <w:color w:val="ff0000"/>
          <w:sz w:val="66"/>
          <w:szCs w:val="66"/>
          <w:rtl w:val="0"/>
        </w:rPr>
        <w:t xml:space="preserve">SOCKET PROGRAMMING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19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29146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