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 Prédiction de la Consommation Énergétique et des Émissions de CO₂ des Bâtiments Non Résidentiels</w:t>
      </w:r>
    </w:p>
    <w:p>
      <w:r>
        <w:t>Auteur : Koffi Jonathan AGBODRE</w:t>
      </w:r>
    </w:p>
    <w:p>
      <w:r>
        <w:t>Projet : GreenSight Lomé – EnergiSight</w:t>
      </w:r>
    </w:p>
    <w:p/>
    <w:p/>
    <w:p>
      <w:r>
        <w:t>GreenSight Lomé – Projet EnergiSight</w:t>
      </w:r>
    </w:p>
    <w:p>
      <w:r>
        <w:t>Auteur : Koffi Jonathan AGBODRE</w:t>
      </w:r>
    </w:p>
    <w:p/>
    <w:p>
      <w:r>
        <w:t>1. Introduction</w:t>
      </w:r>
    </w:p>
    <w:p/>
    <w:p>
      <w:r>
        <w:t>1.1 Contexte et Problématique</w:t>
      </w:r>
    </w:p>
    <w:p>
      <w:r>
        <w:t>La ville de Lomé, comme de nombreuses capitales africaines, fait face à une urbanisation rapide et à une demande énergétique croissante. Cependant, les données fiables sur la consommation énergétique et les émissions de CO₂ des bâtiments non résidentiels (bureaux, hôtels, commerces, écoles, etc.) sont quasi inexistantes. Les campagnes de relevés physiques sont coûteuses et difficilement extensibles. Par ailleurs, la CEET (Compagnie Énergie Électrique du Togo) ne met pas à disposition de bases de données ouvertes.</w:t>
      </w:r>
    </w:p>
    <w:p/>
    <w:p>
      <w:r>
        <w:t>Face à ce constat, la start-up GreenSight Lomé propose le projet EnergiSight : développer un moteur de prédiction capable d’estimer la consommation énergétique et les émissions de CO₂ des bâtiments non résidentiels à partir de caractéristiques structurelles facilement accessibles. Dans un premier temps, faute de données locales, nous utilisons le jeu de données public de la ville de Seattle (2016), reconnu pour sa qualité et sa granularité.</w:t>
      </w:r>
    </w:p>
    <w:p/>
    <w:p>
      <w:r>
        <w:t>1.2 Objectifs du Projet</w:t>
      </w:r>
    </w:p>
    <w:p>
      <w:r>
        <w:t>- Réaliser une analyse exploratoire approfondie des données de Seattle.</w:t>
      </w:r>
    </w:p>
    <w:p>
      <w:r>
        <w:t>- Construire des modèles prédictifs pour :</w:t>
      </w:r>
    </w:p>
    <w:p>
      <w:r>
        <w:t xml:space="preserve">  * La consommation énergétique totale (SiteEnergyUse(kBtu)).</w:t>
      </w:r>
    </w:p>
    <w:p>
      <w:r>
        <w:t xml:space="preserve">  * Les émissions totales de CO₂ (TotalGHGEmissions).</w:t>
      </w:r>
    </w:p>
    <w:p>
      <w:r>
        <w:t>- Comparer plusieurs algorithmes de machine learning.</w:t>
      </w:r>
    </w:p>
    <w:p>
      <w:r>
        <w:t>- Mettre en place une validation rigoureuse (validation croisée).</w:t>
      </w:r>
    </w:p>
    <w:p>
      <w:r>
        <w:t>- Documenter la démarche dans un notebook structuré.</w:t>
      </w:r>
    </w:p>
    <w:p/>
    <w:p>
      <w:r>
        <w:t>2. Méthodologie</w:t>
      </w:r>
    </w:p>
    <w:p/>
    <w:p>
      <w:r>
        <w:t>2.1 Données</w:t>
      </w:r>
    </w:p>
    <w:p>
      <w:r>
        <w:t>Source : 2016 Building Energy Benchmarking (ville de Seattle).</w:t>
      </w:r>
    </w:p>
    <w:p>
      <w:r>
        <w:t>Le dataset contient des informations sur des milliers de bâtiments non résidentiels : surface, nombre d’étages, année de construction, type de bâtiment, quartier, consommation énergétique et émissions de CO₂.</w:t>
      </w:r>
    </w:p>
    <w:p/>
    <w:p>
      <w:r>
        <w:t>Nettoyage :</w:t>
      </w:r>
    </w:p>
    <w:p>
      <w:r>
        <w:t>- Suppression des colonnes non pertinentes.</w:t>
      </w:r>
    </w:p>
    <w:p>
      <w:r>
        <w:t>- Filtrage des bâtiments non résidentiels.</w:t>
      </w:r>
    </w:p>
    <w:p>
      <w:r>
        <w:t>- Correction des incohérences (surfaces nulles, valeurs négatives).</w:t>
      </w:r>
    </w:p>
    <w:p/>
    <w:p>
      <w:r>
        <w:t>2.2 Analyse Exploratoire</w:t>
      </w:r>
    </w:p>
    <w:p>
      <w:r>
        <w:t>Visualisations utilisées :</w:t>
      </w:r>
    </w:p>
    <w:p>
      <w:r>
        <w:t>- Histogrammes</w:t>
      </w:r>
    </w:p>
    <w:p>
      <w:r>
        <w:t>- Boxplots</w:t>
      </w:r>
    </w:p>
    <w:p>
      <w:r>
        <w:t>- Cartes interactives (Plotly)</w:t>
      </w:r>
    </w:p>
    <w:p>
      <w:r>
        <w:t>- Treemap</w:t>
      </w:r>
    </w:p>
    <w:p>
      <w:r>
        <w:t>- Matrice de corrélation</w:t>
      </w:r>
    </w:p>
    <w:p/>
    <w:p>
      <w:r>
        <w:t>2.3 Feature Engineering</w:t>
      </w:r>
    </w:p>
    <w:p>
      <w:r>
        <w:t>Création de variables :</w:t>
      </w:r>
    </w:p>
    <w:p>
      <w:r>
        <w:t>- building_age = 2016 - YearBuilt</w:t>
      </w:r>
    </w:p>
    <w:p>
      <w:r>
        <w:t>- ThermalCompactness = NumberofFloors / sqrt(PropertyGFATotal)</w:t>
      </w:r>
    </w:p>
    <w:p>
      <w:r>
        <w:t>- FloorDensity = NumberofFloors / PropertyGFATotal</w:t>
      </w:r>
    </w:p>
    <w:p>
      <w:r>
        <w:t>- parking_ratio = PropertyGFAParking / PropertyGFATotal</w:t>
      </w:r>
    </w:p>
    <w:p>
      <w:r>
        <w:t>- surface_per_floor = PropertyGFATotal / NumberofFloors</w:t>
      </w:r>
    </w:p>
    <w:p/>
    <w:p>
      <w:r>
        <w:t>Distance au centre-ville calculée avec la formule de Haversine.</w:t>
      </w:r>
    </w:p>
    <w:p/>
    <w:p>
      <w:r>
        <w:t>Gestion du score ENERGY STAR :</w:t>
      </w:r>
    </w:p>
    <w:p>
      <w:r>
        <w:t>- has_energy_star (variable binaire)</w:t>
      </w:r>
    </w:p>
    <w:p>
      <w:r>
        <w:t>- ENERGYSTARScore_imputed (imputation par médiane conditionnelle)</w:t>
      </w:r>
    </w:p>
    <w:p/>
    <w:p>
      <w:r>
        <w:t>Clustering géographique :</w:t>
      </w:r>
    </w:p>
    <w:p>
      <w:r>
        <w:t>Application d’un KMeans sur Latitude, Longitude, YearBuilt et PropertyGFATotal.</w:t>
      </w:r>
    </w:p>
    <w:p/>
    <w:p>
      <w:r>
        <w:t>Transformations logarithmiques :</w:t>
      </w:r>
    </w:p>
    <w:p>
      <w:r>
        <w:t>Application de log1p sur les variables asymétriques.</w:t>
      </w:r>
    </w:p>
    <w:p/>
    <w:p>
      <w:r>
        <w:t>2.4 Préparation des Données</w:t>
      </w:r>
    </w:p>
    <w:p>
      <w:r>
        <w:t>Pipeline de preprocessing avec ColumnTransformer :</w:t>
      </w:r>
    </w:p>
    <w:p>
      <w:r>
        <w:t>- StandardScaler pour les variables numériques.</w:t>
      </w:r>
    </w:p>
    <w:p>
      <w:r>
        <w:t>- OneHotEncoding pour certaines variables catégorielles.</w:t>
      </w:r>
    </w:p>
    <w:p>
      <w:r>
        <w:t>- Target Encoding pour les variables à haute cardinalité.</w:t>
      </w:r>
    </w:p>
    <w:p/>
    <w:p>
      <w:r>
        <w:t>Split des données :</w:t>
      </w:r>
    </w:p>
    <w:p>
      <w:r>
        <w:t>80% entraînement / 20% test.</w:t>
      </w:r>
    </w:p>
    <w:p/>
    <w:p>
      <w:r>
        <w:t>2.5 Modélisation</w:t>
      </w:r>
    </w:p>
    <w:p>
      <w:r>
        <w:t>Modèles testés :</w:t>
      </w:r>
    </w:p>
    <w:p>
      <w:r>
        <w:t>- Ridge Regression</w:t>
      </w:r>
    </w:p>
    <w:p>
      <w:r>
        <w:t>- Random Forest</w:t>
      </w:r>
    </w:p>
    <w:p>
      <w:r>
        <w:t>- XGBoost</w:t>
      </w:r>
    </w:p>
    <w:p>
      <w:r>
        <w:t>- LightGBM</w:t>
      </w:r>
    </w:p>
    <w:p/>
    <w:p>
      <w:r>
        <w:t>Métriques utilisées :</w:t>
      </w:r>
    </w:p>
    <w:p>
      <w:r>
        <w:t>- R²</w:t>
      </w:r>
    </w:p>
    <w:p>
      <w:r>
        <w:t>- RMSE</w:t>
      </w:r>
    </w:p>
    <w:p>
      <w:r>
        <w:t>- MAPE</w:t>
      </w:r>
    </w:p>
    <w:p>
      <w:r>
        <w:t>- Validation croisée (5 folds)</w:t>
      </w:r>
    </w:p>
    <w:p/>
    <w:p>
      <w:r>
        <w:t>3. Résultats</w:t>
      </w:r>
    </w:p>
    <w:p/>
    <w:p>
      <w:r>
        <w:t>3.1 Analyse Exploratoire</w:t>
      </w:r>
    </w:p>
    <w:p>
      <w:r>
        <w:t>La consommation énergétique suit une distribution très asymétrique nécessitant une transformation logarithmique.</w:t>
      </w:r>
    </w:p>
    <w:p/>
    <w:p>
      <w:r>
        <w:t>3.2 Feature Engineering</w:t>
      </w:r>
    </w:p>
    <w:p>
      <w:r>
        <w:t>Les nouvelles variables ont amélioré les performances du modèle.</w:t>
      </w:r>
    </w:p>
    <w:p/>
    <w:p>
      <w:r>
        <w:t>3.3 Performances des Modèles</w:t>
      </w:r>
    </w:p>
    <w:p>
      <w:r>
        <w:t>Le meilleur modèle est LightGBM avec :</w:t>
      </w:r>
    </w:p>
    <w:p>
      <w:r>
        <w:t>- R² test (log) : 0.858</w:t>
      </w:r>
    </w:p>
    <w:p>
      <w:r>
        <w:t>- MAPE : 12.1 %</w:t>
      </w:r>
    </w:p>
    <w:p>
      <w:r>
        <w:t>- CV R² : 0.855 ± 0.012</w:t>
      </w:r>
    </w:p>
    <w:p/>
    <w:p>
      <w:r>
        <w:t>3.4 Analyse des Résidus</w:t>
      </w:r>
    </w:p>
    <w:p>
      <w:r>
        <w:t>Les résidus sont globalement centrés autour de zéro et approximativement normaux.</w:t>
      </w:r>
    </w:p>
    <w:p/>
    <w:p>
      <w:r>
        <w:t>3.5 Importance des Features</w:t>
      </w:r>
    </w:p>
    <w:p>
      <w:r>
        <w:t>Les variables les plus importantes :</w:t>
      </w:r>
    </w:p>
    <w:p>
      <w:r>
        <w:t>- PropertyGFATotal</w:t>
      </w:r>
    </w:p>
    <w:p>
      <w:r>
        <w:t>- ENERGYSTARScore</w:t>
      </w:r>
    </w:p>
    <w:p>
      <w:r>
        <w:t>- YearBuilt</w:t>
      </w:r>
    </w:p>
    <w:p>
      <w:r>
        <w:t>- Latitude / Longitude</w:t>
      </w:r>
    </w:p>
    <w:p>
      <w:r>
        <w:t>- building_age</w:t>
      </w:r>
    </w:p>
    <w:p>
      <w:r>
        <w:t>- NumberofFloors</w:t>
      </w:r>
    </w:p>
    <w:p>
      <w:r>
        <w:t>- Cluster_ID</w:t>
      </w:r>
    </w:p>
    <w:p/>
    <w:p>
      <w:r>
        <w:t>4. Discussion</w:t>
      </w:r>
    </w:p>
    <w:p/>
    <w:p>
      <w:r>
        <w:t>4.1 Hyperparamètres LightGBM</w:t>
      </w:r>
    </w:p>
    <w:p>
      <w:r>
        <w:t>- n_estimators = 300</w:t>
      </w:r>
    </w:p>
    <w:p>
      <w:r>
        <w:t>- learning_rate = 0.05</w:t>
      </w:r>
    </w:p>
    <w:p>
      <w:r>
        <w:t>- max_depth = 5</w:t>
      </w:r>
    </w:p>
    <w:p>
      <w:r>
        <w:t>- num_leaves = 20</w:t>
      </w:r>
    </w:p>
    <w:p>
      <w:r>
        <w:t>- subsample = 0.8</w:t>
      </w:r>
    </w:p>
    <w:p>
      <w:r>
        <w:t>- colsample_bytree = 0.8</w:t>
      </w:r>
    </w:p>
    <w:p>
      <w:r>
        <w:t>- reg_alpha = 0.3</w:t>
      </w:r>
    </w:p>
    <w:p>
      <w:r>
        <w:t>- reg_lambda = 1.0</w:t>
      </w:r>
    </w:p>
    <w:p/>
    <w:p>
      <w:r>
        <w:t>4.2 Limites</w:t>
      </w:r>
    </w:p>
    <w:p>
      <w:r>
        <w:t>- Données issues de Seattle et non de Lomé.</w:t>
      </w:r>
    </w:p>
    <w:p>
      <w:r>
        <w:t>- Besoin de collecte de données locales.</w:t>
      </w:r>
    </w:p>
    <w:p>
      <w:r>
        <w:t>- Possibilité d'améliorer le clustering.</w:t>
      </w:r>
    </w:p>
    <w:p/>
    <w:p>
      <w:r>
        <w:t>4.3 Métriques</w:t>
      </w:r>
    </w:p>
    <w:p>
      <w:r>
        <w:t>- MAPE : 12.1 %</w:t>
      </w:r>
    </w:p>
    <w:p>
      <w:r>
        <w:t>- MdAPE : 9.8 %</w:t>
      </w:r>
    </w:p>
    <w:p>
      <w:r>
        <w:t>- RMSLE : 0.337</w:t>
      </w:r>
    </w:p>
    <w:p/>
    <w:p>
      <w:r>
        <w:t>5. Conclusion</w:t>
      </w:r>
    </w:p>
    <w:p/>
    <w:p>
      <w:r>
        <w:t>Le projet démontre la faisabilité d’un modèle de prédiction énergétique basé sur le machine learning. Le modèle LightGBM permet d’estimer la consommation énergétique avec une erreur moyenne d’environ 12%.</w:t>
      </w:r>
    </w:p>
    <w:p/>
    <w:p>
      <w:r>
        <w:t>Perspectives :</w:t>
      </w:r>
    </w:p>
    <w:p>
      <w:r>
        <w:t>- Collecte de données locales à Lomé.</w:t>
      </w:r>
    </w:p>
    <w:p>
      <w:r>
        <w:t>- Développement d’un SaaS pour municipalités et promoteurs.</w:t>
      </w:r>
    </w:p>
    <w:p>
      <w:r>
        <w:t>- Collaboration avec la CEET et institutions publiques.</w:t>
      </w:r>
    </w:p>
    <w:p/>
    <w:p>
      <w:r>
        <w:t>6. Annexes</w:t>
      </w:r>
    </w:p>
    <w:p/>
    <w:p>
      <w:r>
        <w:t>Repository GitHub :</w:t>
      </w:r>
    </w:p>
    <w:p>
      <w:r>
        <w:t>https://github.com/YONI-spec/energyinsight</w:t>
      </w:r>
    </w:p>
    <w:p/>
    <w:p>
      <w:r>
        <w:t>Glossaire :</w:t>
      </w:r>
    </w:p>
    <w:p>
      <w:r>
        <w:t>- kBtu : unité d’énergie.</w:t>
      </w:r>
    </w:p>
    <w:p>
      <w:r>
        <w:t>- ENERGY STAR Score : score d’efficacité énergétique.</w:t>
      </w:r>
    </w:p>
    <w:p>
      <w:r>
        <w:t>- Target Encoding : encodage basé sur la moyenne de la cible.</w:t>
      </w:r>
    </w:p>
    <w:p/>
    <w:p>
      <w:r>
        <w:t>Remerciements :</w:t>
      </w:r>
    </w:p>
    <w:p>
      <w:r>
        <w:t>Projet réalisé dans le cadre du programme D‑CLIC de l’OIF.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