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 today's world of data-driven de</w:t>
      </w:r>
      <w:bookmarkStart w:id="0" w:name="_GoBack"/>
      <w:bookmarkEnd w:id="0"/>
      <w:r>
        <w:rPr>
          <w:rFonts w:hint="default" w:ascii="Times New Roman" w:hAnsi="Times New Roman" w:eastAsia="SimSun" w:cs="Times New Roman"/>
          <w:kern w:val="0"/>
          <w:sz w:val="24"/>
          <w:szCs w:val="24"/>
          <w:lang w:val="en-US" w:eastAsia="zh-CN" w:bidi="ar"/>
        </w:rPr>
        <w:t>cision-making, it is critical in many different fields to comprehend demographic patterns. A thorough demographic dashboard designed specifically for the examination of housing data is presented in this report. The dashboard provides an easy-to-use interface for examining a dataset that includes housing variables like median age, total number of rooms and bedrooms, population, households, income, and property value. It does this by utilizing Streamlit, a Python module designed for interactive web applications. Users can see demographic trends and relationships through a variety of presentation options, such as pairwise scatter plots, geographical distributions, statistical summaries, correlation heatmaps, and numerical attribute histograms.</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dynamic platform for revealing subtle insights from the dataset is offered by the dashboard. Users can interactively examine the data to learn about everything from the spatial distribution of housing units to the correlation between demographic characteristics. With its ability to provide actionable insights for well-informed decision-making, this tool holds great potential for a variety of stakeholders, including researchers, urban planners, and real estate experts. The demographic dashboard helps to a better knowledge of housing demographics by simplifying data exploration and visualization. This allows users to derive important insights for strategic planning and policy development in a variety of scenarios.</w:t>
      </w:r>
    </w:p>
    <w:p>
      <w:pPr>
        <w:spacing w:line="480" w:lineRule="auto"/>
        <w:jc w:val="both"/>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Methodology.</w:t>
      </w:r>
    </w:p>
    <w:p>
      <w:pPr>
        <w:keepNext w:val="0"/>
        <w:keepLines w:val="0"/>
        <w:widowControl/>
        <w:suppressLineNumbers w:val="0"/>
        <w:spacing w:after="240" w:afterAutospacing="0" w:line="480" w:lineRule="auto"/>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Data Loading and Preprocessing: </w:t>
      </w:r>
    </w:p>
    <w:p>
      <w:pPr>
        <w:keepNext w:val="0"/>
        <w:keepLines w:val="0"/>
        <w:widowControl/>
        <w:suppressLineNumbers w:val="0"/>
        <w:spacing w:after="240" w:afterAutospacing="0"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Using Pandas, a flexible Python data manipulation tool, the housing dataset is loaded first. The mean value of each characteristic is used to fill in any missing values, especially in the 'total_bedrooms' column. For a later study, this guarantees the accuracy and completeness of the data.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Design and Implementation of a Dashboard:</w:t>
      </w:r>
    </w:p>
    <w:p>
      <w:pPr>
        <w:keepNext w:val="0"/>
        <w:keepLines w:val="0"/>
        <w:widowControl/>
        <w:suppressLineNumbers w:val="0"/>
        <w:spacing w:after="240" w:afterAutospacing="0"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interactive demographic dashboard is designed and implemented using the Streamlit framework. Because of Streamlit's ease of use and flexibility, a responsive web application with multiple display options can be made. Users can examine the dataset using a variety of visualizations available on the dashboard, such as pairwise scatter plots, geographical distributions, statistical summaries, correlation heatmaps, and numerical attribute histograms. </w:t>
      </w:r>
    </w:p>
    <w:p>
      <w:pPr>
        <w:keepNext w:val="0"/>
        <w:keepLines w:val="0"/>
        <w:widowControl/>
        <w:suppressLineNumbers w:val="0"/>
        <w:spacing w:line="480" w:lineRule="auto"/>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User involvement and Exploration: </w:t>
      </w:r>
    </w:p>
    <w:p>
      <w:pPr>
        <w:keepNext w:val="0"/>
        <w:keepLines w:val="0"/>
        <w:widowControl/>
        <w:suppressLineNumbers w:val="0"/>
        <w:spacing w:line="480" w:lineRule="auto"/>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Individuals can choose from a variety of display alternatives depending on their analytical requirements according to the dashboard's architecture, which is intended to promote user involvement. By switching between visualizations, changing settings, and getting insights in real-time, users may dynamically explore the dataset.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Optimization</w:t>
      </w:r>
      <w:r>
        <w:rPr>
          <w:rFonts w:hint="default" w:ascii="Times New Roman" w:hAnsi="Times New Roman" w:eastAsia="SimSun" w:cs="Times New Roman"/>
          <w:b/>
          <w:bCs/>
          <w:kern w:val="0"/>
          <w:sz w:val="24"/>
          <w:szCs w:val="24"/>
          <w:lang w:val="en-US" w:eastAsia="zh-CN" w:bidi="ar"/>
        </w:rPr>
        <w:t xml:space="preserve"> and Performance: </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Streamlit's caching techniques, including @st.cache_data, are used to effectively manage data loading and processing, hence improving both performance and user experience. This reduces latency and boosts responsiveness by ensuring that computations are only carried out when necessary.</w:t>
      </w:r>
    </w:p>
    <w:p>
      <w:pPr>
        <w:keepNext w:val="0"/>
        <w:keepLines w:val="0"/>
        <w:widowControl/>
        <w:suppressLineNumbers w:val="0"/>
        <w:spacing w:line="480" w:lineRule="auto"/>
        <w:jc w:val="center"/>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Results.</w:t>
      </w:r>
    </w:p>
    <w:p>
      <w:pPr>
        <w:keepNext w:val="0"/>
        <w:keepLines w:val="0"/>
        <w:widowControl/>
        <w:suppressLineNumbers w:val="0"/>
        <w:spacing w:after="240" w:afterAutospacing="0" w:line="48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A thorough examination of the housing dataset yields informative statistics regarding a range of demographic characteristics. With a mean longitude of roughly -119.57 and a mean latitude of roughly 35.63, the housing units' geographic coordinates indicate a predominate distribution towards the western region, which may match to places like California. With a median age of roughly 28.64 years, the variability in housing age represents a mix of older and relatively younger dwelling units, indicating varying phases of development or refurbishment cycles within the dataset's represented locations.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Furthermore, the dataset demonstrates notable fluctuations in the aggregate count of rooms and bedrooms in housing units, with mean values of roughly 2635.76 and 537.87, correspondingly. This diversity alludes to distinct dwelling capacities and sizes that accommodate various lifestyles and household configurations. The relatively high mean population and household features within the housing units' demographic composition indicate highly inhabited locations, most likely urban or suburban areas with a sizable concentration of residents. </w:t>
      </w:r>
    </w:p>
    <w:p>
      <w:pPr>
        <w:keepNext w:val="0"/>
        <w:keepLines w:val="0"/>
        <w:widowControl/>
        <w:suppressLineNumbers w:val="0"/>
        <w:spacing w:after="240" w:afterAutospacing="0" w:line="48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Furthermore, the huge range in median dwelling value from $14,999 to $500,001 and the mean median income of roughly 3.87 further illustrate the socioeconomic landscape. Greater purchasing power and possibly higher standards of living may be associated with areas with higher median income levels, while the wide variation in median home values highlights the variation in housing costs among various regions, reflecting differing degrees of affluence and demand-supply dynamics. Through the interpretation of these findings, interested parties can acquire a more profound comprehension of the demographic traits found in the housing dataset, enabling well-informed decision-making procedures customized to the socioeconomic conditions of the areas being evaluated. </w:t>
      </w:r>
    </w:p>
    <w:p>
      <w:pPr>
        <w:keepNext w:val="0"/>
        <w:keepLines w:val="0"/>
        <w:widowControl/>
        <w:suppressLineNumbers w:val="0"/>
        <w:spacing w:after="240" w:afterAutospacing="0" w:line="480" w:lineRule="auto"/>
        <w:jc w:val="center"/>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Future plans.</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demographic dashboard for housing data analysis can be made more functional and effective in the future by putting a few techniques into practice. First, more in-depth feature engineering methods can be applied to extract more informative features from the current dataset. In order to capture more subtle aspects of housing demography, such as neighbourhood characteristics or accessibility to important infrastructure, this may need developing new variables or aggregating ones that already exist. Second, users can create and assess machine learning models for applications like demand forecasting and housing price prediction by integrating predictive modelling features into the dashboard. The dashboard's integration of predictive analytics can provide significant insights into future trends and patterns, hence enabling proactive decision-making.</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Additionally, usefulness can be greatly increased by improving the user experience by adding interactive filtering and customization tools to the dashboard. Interactive sliders, drop down menus, and checkboxes are a few examples of this that let users alter visualizations according to their own analytical requirements or dynamically change parameters or filter data subsets. Deeper insights into regional dynamics and population hotspots can also be obtained by extending the dashboard's geospatial analytic capabilities to incorporate interactive maps, spatial clustering methods, or geospatial visualization approaches. Users can obtain a deeper comprehension of the dynamics of the property market by examining spatial trends and visualizing housing data on maps.</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Furthermore, adding external data sources, like environmental or socioeconomic variables, might enhance the current dataset and offer a more thorough understanding of the demography of housing. The dashboard provides insights into the larger socio-economic background influencing housing markets by utilizing a variety of information. Moreover, the incorporation of collaborative features and sharing capabilities can promote knowledge exchange and user participation. To promote cooperation among teams or across organizations, this could include user authentication, version control, or commenting features. In order to manage growing user traffic, accommodate greater datasets, and guarantee a flawless user experience, performance and scalability must be continuously optimized.By following through on these intentions, the demographic dashboard has the potential to develop into an effective instrument for housing data analysis, enabling users to derive meaningful conclusions and promote favourable results in a number of </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480" w:lineRule="auto"/>
        <w:jc w:val="center"/>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Conclusion.</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 conclusion, utilizing data-driven insights for well-informed decision-making has advanced significantly with the introduction of the housing data analysis demographic dashboard. Users are given a thorough overview of housing demographics, including characteristics like the median age of the housing stock, the number of rooms, the population, and the median income, through interactive visualizations and statistical summaries. Through the visualization of housing distributions and the identification of spatial patterns, geospatial analysis improves insights. Future plans promise deeper insights and more capable decision-making across sectors by utilizing advanced feature engineering, predictive modelling, interactive filtering, and collaborative tools to improve the dashboard's performance and usability.In the end, the dashboard is a useful resource for researchers, politicians, urban planners, and real estate professionals. It facilitates evidence-based decision-making and promotes favourable results in housing markets and other areas. The dashboard has the potential to grow into a vital tool for handling possibilities and difficulties related to housing and urban development as it develops further.</w:t>
      </w:r>
    </w:p>
    <w:p>
      <w:pPr>
        <w:keepNext w:val="0"/>
        <w:keepLines w:val="0"/>
        <w:widowControl/>
        <w:suppressLineNumbers w:val="0"/>
        <w:spacing w:line="480" w:lineRule="auto"/>
        <w:jc w:val="both"/>
        <w:rPr>
          <w:rFonts w:hint="default" w:ascii="Times New Roman" w:hAnsi="Times New Roman" w:cs="Times New Roman"/>
          <w:sz w:val="24"/>
          <w:szCs w:val="24"/>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after="240" w:afterAutospacing="0" w:line="480" w:lineRule="auto"/>
        <w:jc w:val="both"/>
        <w:rPr>
          <w:rFonts w:hint="default" w:ascii="Times New Roman" w:hAnsi="Times New Roman" w:eastAsia="SimSun" w:cs="Times New Roman"/>
          <w:b/>
          <w:bCs/>
          <w:kern w:val="0"/>
          <w:sz w:val="24"/>
          <w:szCs w:val="24"/>
          <w:lang w:val="en-US" w:eastAsia="zh-CN" w:bidi="ar"/>
        </w:rPr>
      </w:pPr>
    </w:p>
    <w:p>
      <w:pPr>
        <w:keepNext w:val="0"/>
        <w:keepLines w:val="0"/>
        <w:widowControl/>
        <w:suppressLineNumbers w:val="0"/>
        <w:spacing w:after="240" w:afterAutospacing="0" w:line="480" w:lineRule="auto"/>
        <w:jc w:val="both"/>
        <w:rPr>
          <w:rFonts w:hint="default" w:ascii="Times New Roman" w:hAnsi="Times New Roman" w:eastAsia="SimSun" w:cs="Times New Roman"/>
          <w:kern w:val="0"/>
          <w:sz w:val="24"/>
          <w:szCs w:val="24"/>
          <w:lang w:val="en-US" w:eastAsia="zh-CN" w:bidi="ar"/>
        </w:rPr>
      </w:pPr>
    </w:p>
    <w:p>
      <w:pPr>
        <w:spacing w:line="480" w:lineRule="auto"/>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32D62"/>
    <w:rsid w:val="60A32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2024-05-11T18:23:00Z</dcterms:created>
  <dc:creator>Admin</dc:creator>
  <cp:lastModifiedBy>Admin</cp:lastModifiedBy>
  <dcterms:modified xsi:type="dcterms:W3CDTF">2024-05-11T18:40:49Z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A410AA57EAFC4EB9BA347127FB02D9AF_11</vt:lpwstr>
  </property>
</Properties>
</file>