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5E20" w:val="clear"/>
            <w:tcMar>
              <w:top w:type="dxa" w:w="400"/>
              <w:left w:type="dxa" w:w="400"/>
              <w:bottom w:type="dxa" w:w="400"/>
              <w:right w:type="dxa" w:w="400"/>
            </w:tcMar>
          </w:tcPr>
          <w:p>
            <w:pPr>
              <w:spacing w:after="120" w:before="200"/>
              <w:jc w:val="center"/>
            </w:pPr>
            <w:r>
              <w:rPr>
                <w:rFonts w:ascii="Arial" w:cs="Arial" w:eastAsia="Arial" w:hAnsi="Arial"/>
                <w:sz w:val="72"/>
                <w:szCs w:val="72"/>
              </w:rPr>
              <w:t xml:space="preserve">🌿</w:t>
            </w:r>
          </w:p>
          <w:p>
            <w:pPr>
              <w:spacing w:after="80" w:before="80"/>
              <w:jc w:val="center"/>
            </w:pPr>
            <w:r>
              <w:rPr>
                <w:rFonts w:ascii="Arial" w:cs="Arial" w:eastAsia="Arial" w:hAnsi="Arial"/>
                <w:b/>
                <w:bCs/>
                <w:color w:val="FFFFFF"/>
                <w:sz w:val="52"/>
                <w:szCs w:val="52"/>
              </w:rPr>
              <w:t xml:space="preserve">Plant Disease Intelligence Platform</w:t>
            </w:r>
          </w:p>
          <w:p>
            <w:pPr>
              <w:spacing w:after="60" w:before="60"/>
              <w:jc w:val="center"/>
            </w:pPr>
            <w:r>
              <w:rPr>
                <w:rFonts w:ascii="Arial" w:cs="Arial" w:eastAsia="Arial" w:hAnsi="Arial"/>
                <w:color w:val="C8E6C9"/>
                <w:sz w:val="26"/>
                <w:szCs w:val="26"/>
              </w:rPr>
              <w:t xml:space="preserve">Production-Grade Technical Documentation</w:t>
            </w:r>
          </w:p>
          <w:p>
            <w:pPr>
              <w:spacing w:after="160" w:before="80"/>
              <w:jc w:val="center"/>
            </w:pPr>
            <w:r>
              <w:rPr>
                <w:rFonts w:ascii="Arial" w:cs="Arial" w:eastAsia="Arial" w:hAnsi="Arial"/>
                <w:i/>
                <w:iCs/>
                <w:color w:val="C8E6C9"/>
                <w:sz w:val="20"/>
                <w:szCs w:val="20"/>
              </w:rPr>
              <w:t xml:space="preserve">ResNet50 Transfer Learning  •  MLflow-Governed Lifecycle  •  TensorFlow 2.x</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4CAF50" w:sz="4"/>
              <w:left w:val="none" w:color="FFFFFF" w:sz="0"/>
              <w:bottom w:val="single" w:color="4CAF50" w:sz="4"/>
              <w:right w:val="none" w:color="FFFFFF" w:sz="0"/>
            </w:tcBorders>
            <w:shd w:fill="E8F5E9" w:val="clear"/>
            <w:tcMar>
              <w:top w:type="dxa" w:w="160"/>
              <w:left w:type="dxa" w:w="80"/>
              <w:bottom w:type="dxa" w:w="160"/>
              <w:right w:type="dxa" w:w="80"/>
            </w:tcMar>
            <w:vAlign w:val="center"/>
          </w:tcPr>
          <w:p>
            <w:pPr>
              <w:jc w:val="center"/>
            </w:pPr>
            <w:r>
              <w:rPr>
                <w:rFonts w:ascii="Arial" w:cs="Arial" w:eastAsia="Arial" w:hAnsi="Arial"/>
                <w:b/>
                <w:bCs/>
                <w:color w:val="1B5E20"/>
                <w:sz w:val="52"/>
                <w:szCs w:val="52"/>
              </w:rPr>
              <w:t xml:space="preserve">83.4%</w:t>
            </w:r>
          </w:p>
          <w:p>
            <w:pPr>
              <w:jc w:val="center"/>
            </w:pPr>
            <w:r>
              <w:rPr>
                <w:rFonts w:ascii="Arial" w:cs="Arial" w:eastAsia="Arial" w:hAnsi="Arial"/>
                <w:color w:val="546E7A"/>
                <w:sz w:val="18"/>
                <w:szCs w:val="18"/>
              </w:rPr>
              <w:t xml:space="preserve">Accuracy</w:t>
            </w:r>
          </w:p>
        </w:tc>
        <w:tc>
          <w:tcPr>
            <w:tcW w:type="dxa" w:w="2340"/>
            <w:tcBorders>
              <w:top w:val="single" w:color="4CAF50" w:sz="4"/>
              <w:left w:val="none" w:color="FFFFFF" w:sz="0"/>
              <w:bottom w:val="single" w:color="4CAF50" w:sz="4"/>
              <w:right w:val="none" w:color="FFFFFF" w:sz="0"/>
            </w:tcBorders>
            <w:shd w:fill="E8F5E9" w:val="clear"/>
            <w:tcMar>
              <w:top w:type="dxa" w:w="160"/>
              <w:left w:type="dxa" w:w="80"/>
              <w:bottom w:type="dxa" w:w="160"/>
              <w:right w:type="dxa" w:w="80"/>
            </w:tcMar>
            <w:vAlign w:val="center"/>
          </w:tcPr>
          <w:p>
            <w:pPr>
              <w:jc w:val="center"/>
            </w:pPr>
            <w:r>
              <w:rPr>
                <w:rFonts w:ascii="Arial" w:cs="Arial" w:eastAsia="Arial" w:hAnsi="Arial"/>
                <w:b/>
                <w:bCs/>
                <w:color w:val="1B5E20"/>
                <w:sz w:val="52"/>
                <w:szCs w:val="52"/>
              </w:rPr>
              <w:t xml:space="preserve">84%</w:t>
            </w:r>
          </w:p>
          <w:p>
            <w:pPr>
              <w:jc w:val="center"/>
            </w:pPr>
            <w:r>
              <w:rPr>
                <w:rFonts w:ascii="Arial" w:cs="Arial" w:eastAsia="Arial" w:hAnsi="Arial"/>
                <w:color w:val="546E7A"/>
                <w:sz w:val="18"/>
                <w:szCs w:val="18"/>
              </w:rPr>
              <w:t xml:space="preserve">Precision</w:t>
            </w:r>
          </w:p>
        </w:tc>
        <w:tc>
          <w:tcPr>
            <w:tcW w:type="dxa" w:w="2340"/>
            <w:tcBorders>
              <w:top w:val="single" w:color="4CAF50" w:sz="4"/>
              <w:left w:val="none" w:color="FFFFFF" w:sz="0"/>
              <w:bottom w:val="single" w:color="4CAF50" w:sz="4"/>
              <w:right w:val="none" w:color="FFFFFF" w:sz="0"/>
            </w:tcBorders>
            <w:shd w:fill="E8F5E9" w:val="clear"/>
            <w:tcMar>
              <w:top w:type="dxa" w:w="160"/>
              <w:left w:type="dxa" w:w="80"/>
              <w:bottom w:type="dxa" w:w="160"/>
              <w:right w:type="dxa" w:w="80"/>
            </w:tcMar>
            <w:vAlign w:val="center"/>
          </w:tcPr>
          <w:p>
            <w:pPr>
              <w:jc w:val="center"/>
            </w:pPr>
            <w:r>
              <w:rPr>
                <w:rFonts w:ascii="Arial" w:cs="Arial" w:eastAsia="Arial" w:hAnsi="Arial"/>
                <w:b/>
                <w:bCs/>
                <w:color w:val="1B5E20"/>
                <w:sz w:val="52"/>
                <w:szCs w:val="52"/>
              </w:rPr>
              <w:t xml:space="preserve">83%</w:t>
            </w:r>
          </w:p>
          <w:p>
            <w:pPr>
              <w:jc w:val="center"/>
            </w:pPr>
            <w:r>
              <w:rPr>
                <w:rFonts w:ascii="Arial" w:cs="Arial" w:eastAsia="Arial" w:hAnsi="Arial"/>
                <w:color w:val="546E7A"/>
                <w:sz w:val="18"/>
                <w:szCs w:val="18"/>
              </w:rPr>
              <w:t xml:space="preserve">Recall</w:t>
            </w:r>
          </w:p>
        </w:tc>
        <w:tc>
          <w:tcPr>
            <w:tcW w:type="dxa" w:w="2340"/>
            <w:tcBorders>
              <w:top w:val="single" w:color="4CAF50" w:sz="4"/>
              <w:left w:val="none" w:color="FFFFFF" w:sz="0"/>
              <w:bottom w:val="single" w:color="4CAF50" w:sz="4"/>
              <w:right w:val="none" w:color="FFFFFF" w:sz="0"/>
            </w:tcBorders>
            <w:shd w:fill="E8F5E9" w:val="clear"/>
            <w:tcMar>
              <w:top w:type="dxa" w:w="160"/>
              <w:left w:type="dxa" w:w="80"/>
              <w:bottom w:type="dxa" w:w="160"/>
              <w:right w:type="dxa" w:w="80"/>
            </w:tcMar>
            <w:vAlign w:val="center"/>
          </w:tcPr>
          <w:p>
            <w:pPr>
              <w:jc w:val="center"/>
            </w:pPr>
            <w:r>
              <w:rPr>
                <w:rFonts w:ascii="Arial" w:cs="Arial" w:eastAsia="Arial" w:hAnsi="Arial"/>
                <w:b/>
                <w:bCs/>
                <w:color w:val="1B5E20"/>
                <w:sz w:val="52"/>
                <w:szCs w:val="52"/>
              </w:rPr>
              <w:t xml:space="preserve">83%</w:t>
            </w:r>
          </w:p>
          <w:p>
            <w:pPr>
              <w:jc w:val="center"/>
            </w:pPr>
            <w:r>
              <w:rPr>
                <w:rFonts w:ascii="Arial" w:cs="Arial" w:eastAsia="Arial" w:hAnsi="Arial"/>
                <w:color w:val="546E7A"/>
                <w:sz w:val="18"/>
                <w:szCs w:val="18"/>
              </w:rPr>
              <w:t xml:space="preserve">F1-Score</w:t>
            </w:r>
          </w:p>
        </w:tc>
      </w:tr>
    </w:tbl>
    <w:p>
      <w:pPr>
        <w:spacing w:after="60" w:before="60"/>
      </w:pPr>
      <w:r>
        <w:t xml:space="preserve"/>
      </w:r>
    </w:p>
    <w:p>
      <w:pPr>
        <w:spacing w:after="60" w:before="60"/>
        <w:jc w:val="center"/>
      </w:pPr>
      <w:r>
        <w:rPr>
          <w:rFonts w:ascii="Arial" w:cs="Arial" w:eastAsia="Arial" w:hAnsi="Arial"/>
          <w:color w:val="546E7A"/>
          <w:sz w:val="20"/>
          <w:szCs w:val="20"/>
        </w:rPr>
        <w:t xml:space="preserve">38 Plant Disease Classes  •  54,305 Training Images  •  PlantVillage Dataset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5E20" w:val="clear"/>
            <w:tcMar>
              <w:top w:type="dxa" w:w="160"/>
              <w:left w:type="dxa" w:w="240"/>
              <w:bottom w:type="dxa" w:w="160"/>
              <w:right w:type="dxa" w:w="240"/>
            </w:tcMar>
          </w:tcPr>
          <w:p>
            <w:pPr>
              <w:jc w:val="left"/>
            </w:pPr>
            <w:r>
              <w:rPr>
                <w:rFonts w:ascii="Arial" w:cs="Arial" w:eastAsia="Arial" w:hAnsi="Arial"/>
                <w:b/>
                <w:bCs/>
                <w:color w:val="FFFFFF"/>
                <w:sz w:val="34"/>
                <w:szCs w:val="34"/>
              </w:rPr>
              <w:t xml:space="preserve">🏆  1. Executive Summary</w:t>
            </w:r>
          </w:p>
        </w:tc>
      </w:tr>
    </w:tbl>
    <w:p>
      <w:pPr>
        <w:spacing w:after="60" w:before="60"/>
      </w:pPr>
      <w:r>
        <w:t xml:space="preserve"/>
      </w:r>
    </w:p>
    <w:p>
      <w:pPr>
        <w:pStyle w:val="Heading2"/>
        <w:spacing w:after="80" w:before="240"/>
      </w:pPr>
      <w:r>
        <w:rPr>
          <w:rFonts w:ascii="Arial" w:cs="Arial" w:eastAsia="Arial" w:hAnsi="Arial"/>
          <w:b/>
          <w:bCs/>
          <w:color w:val="2E7D32"/>
          <w:sz w:val="26"/>
          <w:szCs w:val="26"/>
        </w:rPr>
        <w:t xml:space="preserve">The Governing Thought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4"/>
              <w:left w:val="single" w:color="4CAF50" w:sz="12"/>
              <w:bottom w:val="single" w:color="4CAF50" w:sz="4"/>
              <w:right w:val="none" w:color="FFFFFF" w:sz="0"/>
            </w:tcBorders>
            <w:shd w:fill="E8F5E9" w:val="clear"/>
            <w:tcMar>
              <w:top w:type="dxa" w:w="120"/>
              <w:left w:type="dxa" w:w="180"/>
              <w:bottom w:type="dxa" w:w="120"/>
              <w:right w:type="dxa" w:w="180"/>
            </w:tcMar>
          </w:tcPr>
          <w:p>
            <w:pPr>
              <w:spacing w:after="80" w:before="80"/>
            </w:pPr>
            <w:r>
              <w:rPr>
                <w:rFonts w:ascii="Arial" w:cs="Arial" w:eastAsia="Arial" w:hAnsi="Arial"/>
                <w:color w:val="37474F"/>
                <w:sz w:val="22"/>
                <w:szCs w:val="22"/>
              </w:rPr>
              <w:t xml:space="preserve">A production-grade AI system was built and deployed to detect 38 plant disease classes with 83.4% accuracy — bridging the critical gap between lab-controlled model performance and real agricultural field conditions. The system reduces manual disease diagnosis time by delivering automated, reliable detection within seconds, with full MLops lifecycle management ensuring zero manual deployment steps.</w:t>
            </w:r>
          </w:p>
        </w:tc>
      </w:tr>
    </w:tbl>
    <w:p>
      <w:pPr>
        <w:spacing w:after="60" w:before="60"/>
      </w:pPr>
      <w:r>
        <w:t xml:space="preserve"/>
      </w:r>
    </w:p>
    <w:p>
      <w:pPr>
        <w:pStyle w:val="Heading2"/>
        <w:spacing w:after="80" w:before="240"/>
      </w:pPr>
      <w:r>
        <w:rPr>
          <w:rFonts w:ascii="Arial" w:cs="Arial" w:eastAsia="Arial" w:hAnsi="Arial"/>
          <w:b/>
          <w:bCs/>
          <w:color w:val="2E7D32"/>
          <w:sz w:val="26"/>
          <w:szCs w:val="26"/>
        </w:rPr>
        <w:t xml:space="preserve">Key Highlights</w:t>
      </w:r>
    </w:p>
    <w:p>
      <w:pPr>
        <w:pStyle w:val="ListParagraph"/>
        <w:numPr>
          <w:ilvl w:val="0"/>
          <w:numId w:val="2"/>
        </w:numPr>
        <w:spacing w:after="40" w:before="40"/>
      </w:pPr>
      <w:r>
        <w:rPr>
          <w:rFonts w:ascii="Arial" w:cs="Arial" w:eastAsia="Arial" w:hAnsi="Arial"/>
          <w:color w:val="37474F"/>
          <w:sz w:val="22"/>
          <w:szCs w:val="22"/>
        </w:rPr>
        <w:t xml:space="preserve">83.4% accuracy achieved on 38 disease classes across 54,305 images, with balanced F1-Score of 83% despite a 35:1 class imbalance ratio.</w:t>
      </w:r>
    </w:p>
    <w:p>
      <w:pPr>
        <w:pStyle w:val="ListParagraph"/>
        <w:numPr>
          <w:ilvl w:val="0"/>
          <w:numId w:val="2"/>
        </w:numPr>
        <w:spacing w:after="40" w:before="40"/>
      </w:pPr>
      <w:r>
        <w:rPr>
          <w:rFonts w:ascii="Arial" w:cs="Arial" w:eastAsia="Arial" w:hAnsi="Arial"/>
          <w:color w:val="37474F"/>
          <w:sz w:val="22"/>
          <w:szCs w:val="22"/>
        </w:rPr>
        <w:t xml:space="preserve">Full MLOps lifecycle implemented via MLflow — including automated experiment tracking, version control, quality gating (Accuracy &gt; 80%), and registry promotion with zero manual steps.</w:t>
      </w:r>
    </w:p>
    <w:p>
      <w:pPr>
        <w:pStyle w:val="ListParagraph"/>
        <w:numPr>
          <w:ilvl w:val="0"/>
          <w:numId w:val="2"/>
        </w:numPr>
        <w:spacing w:after="40" w:before="40"/>
      </w:pPr>
      <w:r>
        <w:rPr>
          <w:rFonts w:ascii="Arial" w:cs="Arial" w:eastAsia="Arial" w:hAnsi="Arial"/>
          <w:color w:val="37474F"/>
          <w:sz w:val="22"/>
          <w:szCs w:val="22"/>
        </w:rPr>
        <w:t xml:space="preserve">Two-stage ResNet50 fine-tuning enabled effective domain adaptation from ImageNet general features to specialized plant disease features in real agricultural environments.</w:t>
      </w:r>
    </w:p>
    <w:p>
      <w:pPr>
        <w:spacing w:after="60" w:before="60"/>
      </w:pPr>
      <w:r>
        <w:t xml:space="preserve"/>
      </w:r>
    </w:p>
    <w:p>
      <w:pPr>
        <w:pStyle w:val="Heading2"/>
        <w:spacing w:after="80" w:before="240"/>
      </w:pPr>
      <w:r>
        <w:rPr>
          <w:rFonts w:ascii="Arial" w:cs="Arial" w:eastAsia="Arial" w:hAnsi="Arial"/>
          <w:b/>
          <w:bCs/>
          <w:color w:val="2E7D32"/>
          <w:sz w:val="26"/>
          <w:szCs w:val="26"/>
        </w:rPr>
        <w:t xml:space="preserve">The Ask /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4"/>
              <w:left w:val="single" w:color="F9A825" w:sz="12"/>
              <w:bottom w:val="single" w:color="F9A825" w:sz="4"/>
              <w:right w:val="none" w:color="FFFFFF" w:sz="0"/>
            </w:tcBorders>
            <w:shd w:fill="FFFDE7" w:val="clear"/>
            <w:tcMar>
              <w:top w:type="dxa" w:w="120"/>
              <w:left w:type="dxa" w:w="180"/>
              <w:bottom w:type="dxa" w:w="120"/>
              <w:right w:type="dxa" w:w="180"/>
            </w:tcMar>
          </w:tcPr>
          <w:p>
            <w:pPr>
              <w:spacing w:after="40" w:before="60"/>
            </w:pPr>
            <w:r>
              <w:rPr>
                <w:rFonts w:ascii="Arial" w:cs="Arial" w:eastAsia="Arial" w:hAnsi="Arial"/>
                <w:b/>
                <w:bCs/>
                <w:color w:val="37474F"/>
                <w:sz w:val="22"/>
                <w:szCs w:val="22"/>
              </w:rPr>
              <w:t xml:space="preserve">Decision Required</w:t>
            </w:r>
          </w:p>
          <w:p>
            <w:pPr>
              <w:spacing w:after="60" w:before="40"/>
            </w:pPr>
            <w:r>
              <w:rPr>
                <w:rFonts w:ascii="Arial" w:cs="Arial" w:eastAsia="Arial" w:hAnsi="Arial"/>
                <w:color w:val="37474F"/>
                <w:sz w:val="22"/>
                <w:szCs w:val="22"/>
              </w:rPr>
              <w:t xml:space="preserve">Approve advancement to Stage 2: API integration and mobile deployment. The model has passed all Quality Gate thresholds and is production-registry-promoted. Next step requires budget allocation for cloud inference infrastructure and a field pilot program with agricultural partners.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5E20" w:val="clear"/>
            <w:tcMar>
              <w:top w:type="dxa" w:w="160"/>
              <w:left w:type="dxa" w:w="240"/>
              <w:bottom w:type="dxa" w:w="160"/>
              <w:right w:type="dxa" w:w="240"/>
            </w:tcMar>
          </w:tcPr>
          <w:p>
            <w:pPr>
              <w:jc w:val="left"/>
            </w:pPr>
            <w:r>
              <w:rPr>
                <w:rFonts w:ascii="Arial" w:cs="Arial" w:eastAsia="Arial" w:hAnsi="Arial"/>
                <w:b/>
                <w:bCs/>
                <w:color w:val="FFFFFF"/>
                <w:sz w:val="34"/>
                <w:szCs w:val="34"/>
              </w:rPr>
              <w:t xml:space="preserve">🔍  2. Context &amp; Problem Definition (SCQA)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SCQA Element</w:t>
            </w:r>
          </w:p>
        </w:tc>
        <w:tc>
          <w:tcPr>
            <w:tcW w:type="dxa" w:w="716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r>
              <w:rPr>
                <w:rFonts w:ascii="Arial" w:cs="Arial" w:eastAsia="Arial" w:hAnsi="Arial"/>
                <w:color w:val="37474F"/>
                <w:sz w:val="20"/>
                <w:szCs w:val="20"/>
              </w:rPr>
              <w:t xml:space="preserve">📌  Situation</w:t>
            </w:r>
          </w:p>
        </w:tc>
        <w:tc>
          <w:tcPr>
            <w:tcW w:type="dxa" w:w="716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r>
              <w:rPr>
                <w:rFonts w:ascii="Arial" w:cs="Arial" w:eastAsia="Arial" w:hAnsi="Arial"/>
                <w:color w:val="37474F"/>
                <w:sz w:val="20"/>
                <w:szCs w:val="20"/>
              </w:rPr>
              <w:t xml:space="preserve">Agricultural disease detection currently relies on manual expert inspection. The PlantVillage dataset contains 54,305 labeled images covering 38 disease categories — a rich resource that makes automated detection technically feasible.</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  Complication</w:t>
            </w:r>
          </w:p>
        </w:tc>
        <w:tc>
          <w:tcPr>
            <w:tcW w:type="dxa" w:w="7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Lab-trained models fail in real field conditions. Images captured by farmers using mobile cameras under varied lighting, angles, and backgrounds are fundamentally different from controlled lab photos. Additionally, a severe 35:1 class imbalance means standard training would leave rare diseases undetected.</w:t>
            </w:r>
          </w:p>
        </w:tc>
      </w:tr>
      <w:tr>
        <w:tc>
          <w:tcPr>
            <w:tcW w:type="dxa" w:w="22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r>
              <w:rPr>
                <w:rFonts w:ascii="Arial" w:cs="Arial" w:eastAsia="Arial" w:hAnsi="Arial"/>
                <w:color w:val="37474F"/>
                <w:sz w:val="20"/>
                <w:szCs w:val="20"/>
              </w:rPr>
              <w:t xml:space="preserve">❓  Question</w:t>
            </w:r>
          </w:p>
        </w:tc>
        <w:tc>
          <w:tcPr>
            <w:tcW w:type="dxa" w:w="716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r>
              <w:rPr>
                <w:rFonts w:ascii="Arial" w:cs="Arial" w:eastAsia="Arial" w:hAnsi="Arial"/>
                <w:color w:val="37474F"/>
                <w:sz w:val="20"/>
                <w:szCs w:val="20"/>
              </w:rPr>
              <w:t xml:space="preserve">How do we train a model that generalizes from clean lab images to noisy field conditions, while maintaining balanced detection across all 38 disease classes?</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  Answer</w:t>
            </w:r>
          </w:p>
        </w:tc>
        <w:tc>
          <w:tcPr>
            <w:tcW w:type="dxa" w:w="7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The Plant Disease Intelligence Platform — a ResNet50-based system with heavy data augmentation, two-stage fine-tuning, class-imbalance mitigation, and a full MLflow MLOps lifecycle to govern model quality before production deployment.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5E20" w:val="clear"/>
            <w:tcMar>
              <w:top w:type="dxa" w:w="160"/>
              <w:left w:type="dxa" w:w="240"/>
              <w:bottom w:type="dxa" w:w="160"/>
              <w:right w:type="dxa" w:w="240"/>
            </w:tcMar>
          </w:tcPr>
          <w:p>
            <w:pPr>
              <w:jc w:val="left"/>
            </w:pPr>
            <w:r>
              <w:rPr>
                <w:rFonts w:ascii="Arial" w:cs="Arial" w:eastAsia="Arial" w:hAnsi="Arial"/>
                <w:b/>
                <w:bCs/>
                <w:color w:val="FFFFFF"/>
                <w:sz w:val="34"/>
                <w:szCs w:val="34"/>
              </w:rPr>
              <w:t xml:space="preserve">🎯  3. Project Objective — SMART Goals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4"/>
              <w:left w:val="single" w:color="4CAF50" w:sz="12"/>
              <w:bottom w:val="single" w:color="4CAF50" w:sz="4"/>
              <w:right w:val="none" w:color="FFFFFF" w:sz="0"/>
            </w:tcBorders>
            <w:shd w:fill="E8F5E9" w:val="clear"/>
            <w:tcMar>
              <w:top w:type="dxa" w:w="120"/>
              <w:left w:type="dxa" w:w="180"/>
              <w:bottom w:type="dxa" w:w="120"/>
              <w:right w:type="dxa" w:w="180"/>
            </w:tcMar>
          </w:tcPr>
          <w:p>
            <w:pPr>
              <w:spacing w:after="60" w:before="60"/>
            </w:pPr>
            <w:r>
              <w:rPr>
                <w:rFonts w:ascii="Arial" w:cs="Arial" w:eastAsia="Arial" w:hAnsi="Arial"/>
                <w:b/>
                <w:bCs/>
                <w:color w:val="1B5E20"/>
                <w:sz w:val="24"/>
                <w:szCs w:val="24"/>
              </w:rPr>
              <w:t xml:space="preserve">Primary Objective</w:t>
            </w:r>
          </w:p>
          <w:p>
            <w:pPr>
              <w:spacing w:after="80" w:before="40"/>
            </w:pPr>
            <w:r>
              <w:rPr>
                <w:rFonts w:ascii="Arial" w:cs="Arial" w:eastAsia="Arial" w:hAnsi="Arial"/>
                <w:i/>
                <w:iCs/>
                <w:color w:val="37474F"/>
                <w:sz w:val="22"/>
                <w:szCs w:val="22"/>
              </w:rPr>
              <w:t xml:space="preserve">"Design, train, and deploy a plant disease classification system using ResNet50 transfer learning that achieves a minimum of 83% accuracy and 83% balanced F1-Score across all 38 disease classes, processes inference in under 3 seconds, and completes full MLOps lifecycle management — from data ingestion to production registry promotion — within a 6-week development window."</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80"/>
        <w:gridCol w:w="2680"/>
      </w:tblGrid>
      <w:tr>
        <w:trPr>
          <w:tblHeader/>
        </w:trPr>
        <w:tc>
          <w:tcPr>
            <w:tcW w:type="dxa" w:w="26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SMART Criterion</w:t>
            </w:r>
          </w:p>
        </w:tc>
        <w:tc>
          <w:tcPr>
            <w:tcW w:type="dxa" w:w="408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68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Achieved</w:t>
            </w:r>
          </w:p>
        </w:tc>
      </w:tr>
      <w:tr>
        <w:tc>
          <w:tcPr>
            <w:tcW w:type="dxa" w:w="26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r>
              <w:rPr>
                <w:rFonts w:ascii="Arial" w:cs="Arial" w:eastAsia="Arial" w:hAnsi="Arial"/>
                <w:color w:val="37474F"/>
                <w:sz w:val="20"/>
                <w:szCs w:val="20"/>
              </w:rPr>
              <w:t xml:space="preserve">Specific</w:t>
            </w:r>
          </w:p>
        </w:tc>
        <w:tc>
          <w:tcPr>
            <w:tcW w:type="dxa" w:w="408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r>
              <w:rPr>
                <w:rFonts w:ascii="Arial" w:cs="Arial" w:eastAsia="Arial" w:hAnsi="Arial"/>
                <w:color w:val="37474F"/>
                <w:sz w:val="20"/>
                <w:szCs w:val="20"/>
              </w:rPr>
              <w:t xml:space="preserve">38-class disease classification on PlantVillage dataset</w:t>
            </w:r>
          </w:p>
        </w:tc>
        <w:tc>
          <w:tcPr>
            <w:tcW w:type="dxa" w:w="268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r>
              <w:rPr>
                <w:rFonts w:ascii="Arial" w:cs="Arial" w:eastAsia="Arial" w:hAnsi="Arial"/>
                <w:color w:val="37474F"/>
                <w:sz w:val="20"/>
                <w:szCs w:val="20"/>
              </w:rPr>
              <w:t xml:space="preserve">✅ 38 classes covered</w:t>
            </w:r>
          </w:p>
        </w:tc>
      </w:tr>
      <w:tr>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Measurable</w:t>
            </w:r>
          </w:p>
        </w:tc>
        <w:tc>
          <w:tcPr>
            <w:tcW w:type="dxa" w:w="40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Accuracy ≥ 80% | F1-Score ≥ 80% | Balanced Recall</w:t>
            </w:r>
          </w:p>
        </w:tc>
        <w:tc>
          <w:tcPr>
            <w:tcW w:type="dxa" w:w="2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 83.4% Acc | 83% F1</w:t>
            </w:r>
          </w:p>
        </w:tc>
      </w:tr>
      <w:tr>
        <w:tc>
          <w:tcPr>
            <w:tcW w:type="dxa" w:w="26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r>
              <w:rPr>
                <w:rFonts w:ascii="Arial" w:cs="Arial" w:eastAsia="Arial" w:hAnsi="Arial"/>
                <w:color w:val="37474F"/>
                <w:sz w:val="20"/>
                <w:szCs w:val="20"/>
              </w:rPr>
              <w:t xml:space="preserve">Achievable</w:t>
            </w:r>
          </w:p>
        </w:tc>
        <w:tc>
          <w:tcPr>
            <w:tcW w:type="dxa" w:w="408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r>
              <w:rPr>
                <w:rFonts w:ascii="Arial" w:cs="Arial" w:eastAsia="Arial" w:hAnsi="Arial"/>
                <w:color w:val="37474F"/>
                <w:sz w:val="20"/>
                <w:szCs w:val="20"/>
              </w:rPr>
              <w:t xml:space="preserve">ResNet50 + Two-Stage Fine-tuning + Heavy Augmentation</w:t>
            </w:r>
          </w:p>
        </w:tc>
        <w:tc>
          <w:tcPr>
            <w:tcW w:type="dxa" w:w="268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r>
              <w:rPr>
                <w:rFonts w:ascii="Arial" w:cs="Arial" w:eastAsia="Arial" w:hAnsi="Arial"/>
                <w:color w:val="37474F"/>
                <w:sz w:val="20"/>
                <w:szCs w:val="20"/>
              </w:rPr>
              <w:t xml:space="preserve">✅ Implemented</w:t>
            </w:r>
          </w:p>
        </w:tc>
      </w:tr>
      <w:tr>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Relevant</w:t>
            </w:r>
          </w:p>
        </w:tc>
        <w:tc>
          <w:tcPr>
            <w:tcW w:type="dxa" w:w="40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Bridge lab-to-field gap; handle 35:1 imbalance</w:t>
            </w:r>
          </w:p>
        </w:tc>
        <w:tc>
          <w:tcPr>
            <w:tcW w:type="dxa" w:w="26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 Mitigated via Augmentation</w:t>
            </w:r>
          </w:p>
        </w:tc>
      </w:tr>
      <w:tr>
        <w:tc>
          <w:tcPr>
            <w:tcW w:type="dxa" w:w="26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r>
              <w:rPr>
                <w:rFonts w:ascii="Arial" w:cs="Arial" w:eastAsia="Arial" w:hAnsi="Arial"/>
                <w:color w:val="37474F"/>
                <w:sz w:val="20"/>
                <w:szCs w:val="20"/>
              </w:rPr>
              <w:t xml:space="preserve">Time-bound</w:t>
            </w:r>
          </w:p>
        </w:tc>
        <w:tc>
          <w:tcPr>
            <w:tcW w:type="dxa" w:w="408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r>
              <w:rPr>
                <w:rFonts w:ascii="Arial" w:cs="Arial" w:eastAsia="Arial" w:hAnsi="Arial"/>
                <w:color w:val="37474F"/>
                <w:sz w:val="20"/>
                <w:szCs w:val="20"/>
              </w:rPr>
              <w:t xml:space="preserve">End-to-end pipeline in defined development sprint</w:t>
            </w:r>
          </w:p>
        </w:tc>
        <w:tc>
          <w:tcPr>
            <w:tcW w:type="dxa" w:w="268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r>
              <w:rPr>
                <w:rFonts w:ascii="Arial" w:cs="Arial" w:eastAsia="Arial" w:hAnsi="Arial"/>
                <w:color w:val="37474F"/>
                <w:sz w:val="20"/>
                <w:szCs w:val="20"/>
              </w:rPr>
              <w:t xml:space="preserve">✅ Full pipeline delivered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5E20" w:val="clear"/>
            <w:tcMar>
              <w:top w:type="dxa" w:w="160"/>
              <w:left w:type="dxa" w:w="240"/>
              <w:bottom w:type="dxa" w:w="160"/>
              <w:right w:type="dxa" w:w="240"/>
            </w:tcMar>
          </w:tcPr>
          <w:p>
            <w:pPr>
              <w:jc w:val="left"/>
            </w:pPr>
            <w:r>
              <w:rPr>
                <w:rFonts w:ascii="Arial" w:cs="Arial" w:eastAsia="Arial" w:hAnsi="Arial"/>
                <w:b/>
                <w:bCs/>
                <w:color w:val="FFFFFF"/>
                <w:sz w:val="34"/>
                <w:szCs w:val="34"/>
              </w:rPr>
              <w:t xml:space="preserve">⚙️  4. Methodology &amp; Architecture</w:t>
            </w:r>
          </w:p>
        </w:tc>
      </w:tr>
    </w:tbl>
    <w:p>
      <w:pPr>
        <w:spacing w:after="60" w:before="60"/>
      </w:pPr>
      <w:r>
        <w:t xml:space="preserve"/>
      </w:r>
    </w:p>
    <w:p>
      <w:pPr>
        <w:pStyle w:val="Heading2"/>
        <w:spacing w:after="80" w:before="240"/>
      </w:pPr>
      <w:r>
        <w:rPr>
          <w:rFonts w:ascii="Arial" w:cs="Arial" w:eastAsia="Arial" w:hAnsi="Arial"/>
          <w:b/>
          <w:bCs/>
          <w:color w:val="2E7D32"/>
          <w:sz w:val="26"/>
          <w:szCs w:val="26"/>
        </w:rPr>
        <w:t xml:space="preserve">4.1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4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56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Why This Choice</w:t>
            </w:r>
          </w:p>
        </w:tc>
      </w:tr>
      <w:tr>
        <w:tc>
          <w:tcPr>
            <w:tcW w:type="dxa" w:w="24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r>
              <w:rPr>
                <w:rFonts w:ascii="Arial" w:cs="Arial" w:eastAsia="Arial" w:hAnsi="Arial"/>
                <w:color w:val="37474F"/>
                <w:sz w:val="20"/>
                <w:szCs w:val="20"/>
              </w:rPr>
              <w:t xml:space="preserve">TensorFlow 2.x / Keras</w:t>
            </w:r>
          </w:p>
        </w:tc>
        <w:tc>
          <w:tcPr>
            <w:tcW w:type="dxa" w:w="24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r>
              <w:rPr>
                <w:rFonts w:ascii="Arial" w:cs="Arial" w:eastAsia="Arial" w:hAnsi="Arial"/>
                <w:color w:val="37474F"/>
                <w:sz w:val="20"/>
                <w:szCs w:val="20"/>
              </w:rPr>
              <w:t xml:space="preserve">Deep Learning Framework</w:t>
            </w:r>
          </w:p>
        </w:tc>
        <w:tc>
          <w:tcPr>
            <w:tcW w:type="dxa" w:w="456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r>
              <w:rPr>
                <w:rFonts w:ascii="Arial" w:cs="Arial" w:eastAsia="Arial" w:hAnsi="Arial"/>
                <w:color w:val="37474F"/>
                <w:sz w:val="20"/>
                <w:szCs w:val="20"/>
              </w:rPr>
              <w:t xml:space="preserve">Industry-standard, GPU-accelerated, native ResNet50 support with preprocessing utilities.</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ResNet50 (ImageNet)</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Base Model</w:t>
            </w:r>
          </w:p>
        </w:tc>
        <w:tc>
          <w:tcPr>
            <w:tcW w:type="dxa" w:w="4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Proven 50-layer residual network — balances depth and training speed. ImageNet weights provide rich feature extraction as a starting point.</w:t>
            </w:r>
          </w:p>
        </w:tc>
      </w:tr>
      <w:tr>
        <w:tc>
          <w:tcPr>
            <w:tcW w:type="dxa" w:w="24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r>
              <w:rPr>
                <w:rFonts w:ascii="Arial" w:cs="Arial" w:eastAsia="Arial" w:hAnsi="Arial"/>
                <w:color w:val="37474F"/>
                <w:sz w:val="20"/>
                <w:szCs w:val="20"/>
              </w:rPr>
              <w:t xml:space="preserve">MLflow</w:t>
            </w:r>
          </w:p>
        </w:tc>
        <w:tc>
          <w:tcPr>
            <w:tcW w:type="dxa" w:w="24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r>
              <w:rPr>
                <w:rFonts w:ascii="Arial" w:cs="Arial" w:eastAsia="Arial" w:hAnsi="Arial"/>
                <w:color w:val="37474F"/>
                <w:sz w:val="20"/>
                <w:szCs w:val="20"/>
              </w:rPr>
              <w:t xml:space="preserve">Experiment &amp; Lifecycle</w:t>
            </w:r>
          </w:p>
        </w:tc>
        <w:tc>
          <w:tcPr>
            <w:tcW w:type="dxa" w:w="456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r>
              <w:rPr>
                <w:rFonts w:ascii="Arial" w:cs="Arial" w:eastAsia="Arial" w:hAnsi="Arial"/>
                <w:color w:val="37474F"/>
                <w:sz w:val="20"/>
                <w:szCs w:val="20"/>
              </w:rPr>
              <w:t xml:space="preserve">Open-source MLOps standard: tracks metrics per epoch, versions models, governs staging/production registry automatically.</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tf.data API</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Data Pipeline</w:t>
            </w:r>
          </w:p>
        </w:tc>
        <w:tc>
          <w:tcPr>
            <w:tcW w:type="dxa" w:w="4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AUTOTUNE + Prefetch eliminates GPU idle time; on-the-fly mapping avoids disk waste.</w:t>
            </w:r>
          </w:p>
        </w:tc>
      </w:tr>
      <w:tr>
        <w:tc>
          <w:tcPr>
            <w:tcW w:type="dxa" w:w="24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r>
              <w:rPr>
                <w:rFonts w:ascii="Arial" w:cs="Arial" w:eastAsia="Arial" w:hAnsi="Arial"/>
                <w:color w:val="37474F"/>
                <w:sz w:val="20"/>
                <w:szCs w:val="20"/>
              </w:rPr>
              <w:t xml:space="preserve">tf.keras.Sequential Augmentation</w:t>
            </w:r>
          </w:p>
        </w:tc>
        <w:tc>
          <w:tcPr>
            <w:tcW w:type="dxa" w:w="24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r>
              <w:rPr>
                <w:rFonts w:ascii="Arial" w:cs="Arial" w:eastAsia="Arial" w:hAnsi="Arial"/>
                <w:color w:val="37474F"/>
                <w:sz w:val="20"/>
                <w:szCs w:val="20"/>
              </w:rPr>
              <w:t xml:space="preserve">Data Synthesis</w:t>
            </w:r>
          </w:p>
        </w:tc>
        <w:tc>
          <w:tcPr>
            <w:tcW w:type="dxa" w:w="456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r>
              <w:rPr>
                <w:rFonts w:ascii="Arial" w:cs="Arial" w:eastAsia="Arial" w:hAnsi="Arial"/>
                <w:color w:val="37474F"/>
                <w:sz w:val="20"/>
                <w:szCs w:val="20"/>
              </w:rPr>
              <w:t xml:space="preserve">In-graph augmentation is faster than disk-based tools and generates infinite training variation with zero storage cost.</w:t>
            </w:r>
          </w:p>
        </w:tc>
      </w:tr>
    </w:tbl>
    <w:p>
      <w:pPr>
        <w:spacing w:after="60" w:before="60"/>
      </w:pPr>
      <w:r>
        <w:t xml:space="preserve"/>
      </w:r>
    </w:p>
    <w:p>
      <w:pPr>
        <w:pStyle w:val="Heading2"/>
        <w:spacing w:after="80" w:before="240"/>
      </w:pPr>
      <w:r>
        <w:rPr>
          <w:rFonts w:ascii="Arial" w:cs="Arial" w:eastAsia="Arial" w:hAnsi="Arial"/>
          <w:b/>
          <w:bCs/>
          <w:color w:val="2E7D32"/>
          <w:sz w:val="26"/>
          <w:szCs w:val="26"/>
        </w:rPr>
        <w:t xml:space="preserve">4.2  Why ResNet50 — The Technical Reasoning</w:t>
      </w:r>
    </w:p>
    <w:p>
      <w:pPr>
        <w:pStyle w:val="ListParagraph"/>
        <w:numPr>
          <w:ilvl w:val="0"/>
          <w:numId w:val="2"/>
        </w:numPr>
        <w:spacing w:after="40" w:before="40"/>
      </w:pPr>
      <w:r>
        <w:rPr>
          <w:rFonts w:ascii="Arial" w:cs="Arial" w:eastAsia="Arial" w:hAnsi="Arial"/>
          <w:color w:val="37474F"/>
          <w:sz w:val="22"/>
          <w:szCs w:val="22"/>
        </w:rPr>
        <w:t xml:space="preserve">Skip Connections (Residual Blocks): Solve the vanishing gradient problem in deep networks — allowing effective 50-layer training without degradation.</w:t>
      </w:r>
    </w:p>
    <w:p>
      <w:pPr>
        <w:pStyle w:val="ListParagraph"/>
        <w:numPr>
          <w:ilvl w:val="0"/>
          <w:numId w:val="2"/>
        </w:numPr>
        <w:spacing w:after="40" w:before="40"/>
      </w:pPr>
      <w:r>
        <w:rPr>
          <w:rFonts w:ascii="Arial" w:cs="Arial" w:eastAsia="Arial" w:hAnsi="Arial"/>
          <w:color w:val="37474F"/>
          <w:sz w:val="22"/>
          <w:szCs w:val="22"/>
        </w:rPr>
        <w:t xml:space="preserve">ImageNet Pre-training: 1.2M-image pre-training provides rich low-level features (edges, textures) that directly transfer to plant leaf disease patterns.</w:t>
      </w:r>
    </w:p>
    <w:p>
      <w:pPr>
        <w:pStyle w:val="ListParagraph"/>
        <w:numPr>
          <w:ilvl w:val="0"/>
          <w:numId w:val="2"/>
        </w:numPr>
        <w:spacing w:after="40" w:before="40"/>
      </w:pPr>
      <w:r>
        <w:rPr>
          <w:rFonts w:ascii="Arial" w:cs="Arial" w:eastAsia="Arial" w:hAnsi="Arial"/>
          <w:color w:val="37474F"/>
          <w:sz w:val="22"/>
          <w:szCs w:val="22"/>
        </w:rPr>
        <w:t xml:space="preserve">Two-Stage Fine-tuning Strategy: Stage 1 freezes all ResNet50 layers to protect learned weights; Stage 2 unfreezes the last 50 layers with a very low learning rate to specialize on plant features without catastrophic forgetting.</w:t>
      </w:r>
    </w:p>
    <w:p>
      <w:pPr>
        <w:pStyle w:val="ListParagraph"/>
        <w:numPr>
          <w:ilvl w:val="0"/>
          <w:numId w:val="2"/>
        </w:numPr>
        <w:spacing w:after="40" w:before="40"/>
      </w:pPr>
      <w:r>
        <w:rPr>
          <w:rFonts w:ascii="Arial" w:cs="Arial" w:eastAsia="Arial" w:hAnsi="Arial"/>
          <w:color w:val="37474F"/>
          <w:sz w:val="22"/>
          <w:szCs w:val="22"/>
        </w:rPr>
        <w:t xml:space="preserve">Compared to EfficientNet or MobileNet: ResNet50 was chosen for its balance of accuracy and computational cost — EfficientNet offers marginally better accuracy at higher complexity; MobileNet trades accuracy for speed not needed here.</w:t>
      </w:r>
    </w:p>
    <w:p>
      <w:pPr>
        <w:spacing w:after="60" w:before="60"/>
      </w:pPr>
      <w:r>
        <w:t xml:space="preserve"/>
      </w:r>
    </w:p>
    <w:p>
      <w:pPr>
        <w:pStyle w:val="Heading2"/>
        <w:spacing w:after="80" w:before="240"/>
      </w:pPr>
      <w:r>
        <w:rPr>
          <w:rFonts w:ascii="Arial" w:cs="Arial" w:eastAsia="Arial" w:hAnsi="Arial"/>
          <w:b/>
          <w:bCs/>
          <w:color w:val="2E7D32"/>
          <w:sz w:val="26"/>
          <w:szCs w:val="26"/>
        </w:rPr>
        <w:t xml:space="preserve">4.3  System Architecture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4"/>
              <w:left w:val="single" w:color="4CAF50" w:sz="12"/>
              <w:bottom w:val="single" w:color="4CAF50" w:sz="4"/>
              <w:right w:val="none" w:color="FFFFFF" w:sz="0"/>
            </w:tcBorders>
            <w:shd w:fill="E8F5E9" w:val="clear"/>
            <w:tcMar>
              <w:top w:type="dxa" w:w="120"/>
              <w:left w:type="dxa" w:w="180"/>
              <w:bottom w:type="dxa" w:w="120"/>
              <w:right w:type="dxa" w:w="180"/>
            </w:tcMar>
          </w:tcPr>
          <w:p>
            <w:pPr>
              <w:spacing w:after="40" w:before="60"/>
            </w:pPr>
            <w:r>
              <w:rPr>
                <w:rFonts w:ascii="Arial" w:cs="Arial" w:eastAsia="Arial" w:hAnsi="Arial"/>
                <w:b/>
                <w:bCs/>
                <w:color w:val="1B5E20"/>
                <w:sz w:val="22"/>
                <w:szCs w:val="22"/>
              </w:rPr>
              <w:t xml:space="preserve">Data Flow: End-to-End Pipeline</w:t>
            </w:r>
          </w:p>
          <w:p>
            <w:pPr>
              <w:spacing w:after="20" w:before="20"/>
            </w:pPr>
            <w:r>
              <w:rPr>
                <w:rFonts w:ascii="Arial" w:cs="Arial" w:eastAsia="Arial" w:hAnsi="Arial"/>
                <w:color w:val="37474F"/>
                <w:sz w:val="21"/>
                <w:szCs w:val="21"/>
              </w:rPr>
              <w:t xml:space="preserve">📂 PlantVillage Dataset (54,305 images, 38 classes)</w:t>
            </w:r>
          </w:p>
          <w:p>
            <w:pPr>
              <w:spacing w:after="4" w:before="4"/>
            </w:pPr>
            <w:r>
              <w:rPr>
                <w:rFonts w:ascii="Arial" w:cs="Arial" w:eastAsia="Arial" w:hAnsi="Arial"/>
                <w:i/>
                <w:iCs/>
                <w:color w:val="546E7A"/>
                <w:sz w:val="20"/>
                <w:szCs w:val="20"/>
              </w:rPr>
              <w:t xml:space="preserve">        ↓  EDA &amp; Class Distribution Analysis</w:t>
            </w:r>
          </w:p>
          <w:p>
            <w:pPr>
              <w:spacing w:after="4" w:before="4"/>
            </w:pPr>
            <w:r>
              <w:rPr>
                <w:rFonts w:ascii="Arial" w:cs="Arial" w:eastAsia="Arial" w:hAnsi="Arial"/>
                <w:i/>
                <w:iCs/>
                <w:color w:val="546E7A"/>
                <w:sz w:val="20"/>
                <w:szCs w:val="20"/>
              </w:rPr>
              <w:t xml:space="preserve">        ↓  Data Splitting (80/10/10) — random_state=42 for reproducibility</w:t>
            </w:r>
          </w:p>
          <w:p>
            <w:pPr>
              <w:spacing w:after="4" w:before="4"/>
            </w:pPr>
            <w:r>
              <w:rPr>
                <w:rFonts w:ascii="Arial" w:cs="Arial" w:eastAsia="Arial" w:hAnsi="Arial"/>
                <w:i/>
                <w:iCs/>
                <w:color w:val="546E7A"/>
                <w:sz w:val="20"/>
                <w:szCs w:val="20"/>
              </w:rPr>
              <w:t xml:space="preserve">        ↓  tf.data Pipeline → ResNet50 preprocess_input + AUTOTUNE + Prefetch</w:t>
            </w:r>
          </w:p>
          <w:p>
            <w:pPr>
              <w:spacing w:after="4" w:before="4"/>
            </w:pPr>
            <w:r>
              <w:rPr>
                <w:rFonts w:ascii="Arial" w:cs="Arial" w:eastAsia="Arial" w:hAnsi="Arial"/>
                <w:i/>
                <w:iCs/>
                <w:color w:val="546E7A"/>
                <w:sz w:val="20"/>
                <w:szCs w:val="20"/>
              </w:rPr>
              <w:t xml:space="preserve">        ↓  Heavy Augmentation Layer (RandomFlip, Rotation, Zoom, Contrast, Brightness)</w:t>
            </w:r>
          </w:p>
          <w:p>
            <w:pPr>
              <w:spacing w:after="4" w:before="4"/>
            </w:pPr>
            <w:r>
              <w:rPr>
                <w:rFonts w:ascii="Arial" w:cs="Arial" w:eastAsia="Arial" w:hAnsi="Arial"/>
                <w:i/>
                <w:iCs/>
                <w:color w:val="546E7A"/>
                <w:sz w:val="20"/>
                <w:szCs w:val="20"/>
              </w:rPr>
              <w:t xml:space="preserve">        ↓  Stage 1: Head Training (ResNet50 frozen) → Stage 2: Selective Unfreezing (last 50 layers)</w:t>
            </w:r>
          </w:p>
          <w:p>
            <w:pPr>
              <w:spacing w:after="4" w:before="4"/>
            </w:pPr>
            <w:r>
              <w:rPr>
                <w:rFonts w:ascii="Arial" w:cs="Arial" w:eastAsia="Arial" w:hAnsi="Arial"/>
                <w:i/>
                <w:iCs/>
                <w:color w:val="546E7A"/>
                <w:sz w:val="20"/>
                <w:szCs w:val="20"/>
              </w:rPr>
              <w:t xml:space="preserve">        ↓  MLflow Tracking → Staging → Quality Gate (Acc &gt; 80% &amp; F1 balanced?)</w:t>
            </w:r>
          </w:p>
          <w:p>
            <w:pPr>
              <w:spacing w:after="20" w:before="4"/>
            </w:pPr>
            <w:r>
              <w:rPr>
                <w:rFonts w:ascii="Arial" w:cs="Arial" w:eastAsia="Arial" w:hAnsi="Arial"/>
                <w:b/>
                <w:bCs/>
                <w:color w:val="1B5E20"/>
                <w:sz w:val="20"/>
                <w:szCs w:val="20"/>
              </w:rPr>
              <w:t xml:space="preserve">        ↓  ✅ PROMOTED to Production Registry — PlantDiseaseWrapper deployed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5E20" w:val="clear"/>
            <w:tcMar>
              <w:top w:type="dxa" w:w="160"/>
              <w:left w:type="dxa" w:w="240"/>
              <w:bottom w:type="dxa" w:w="160"/>
              <w:right w:type="dxa" w:w="240"/>
            </w:tcMar>
          </w:tcPr>
          <w:p>
            <w:pPr>
              <w:jc w:val="left"/>
            </w:pPr>
            <w:r>
              <w:rPr>
                <w:rFonts w:ascii="Arial" w:cs="Arial" w:eastAsia="Arial" w:hAnsi="Arial"/>
                <w:b/>
                <w:bCs/>
                <w:color w:val="FFFFFF"/>
                <w:sz w:val="34"/>
                <w:szCs w:val="34"/>
              </w:rPr>
              <w:t xml:space="preserve">📈  5. Analysis &amp; Insights</w:t>
            </w:r>
          </w:p>
        </w:tc>
      </w:tr>
    </w:tbl>
    <w:p>
      <w:pPr>
        <w:spacing w:after="60" w:before="60"/>
      </w:pPr>
      <w:r>
        <w:t xml:space="preserve"/>
      </w:r>
    </w:p>
    <w:p>
      <w:pPr>
        <w:pStyle w:val="Heading2"/>
        <w:spacing w:after="80" w:before="240"/>
      </w:pPr>
      <w:r>
        <w:rPr>
          <w:rFonts w:ascii="Arial" w:cs="Arial" w:eastAsia="Arial" w:hAnsi="Arial"/>
          <w:b/>
          <w:bCs/>
          <w:color w:val="2E7D32"/>
          <w:sz w:val="26"/>
          <w:szCs w:val="26"/>
        </w:rPr>
        <w:t xml:space="preserve">5.1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4CAF50" w:sz="4"/>
              <w:left w:val="none" w:color="FFFFFF" w:sz="0"/>
              <w:bottom w:val="single" w:color="4CAF50" w:sz="4"/>
              <w:right w:val="none" w:color="FFFFFF" w:sz="0"/>
            </w:tcBorders>
            <w:shd w:fill="E8F5E9" w:val="clear"/>
            <w:tcMar>
              <w:top w:type="dxa" w:w="160"/>
              <w:left w:type="dxa" w:w="80"/>
              <w:bottom w:type="dxa" w:w="160"/>
              <w:right w:type="dxa" w:w="80"/>
            </w:tcMar>
            <w:vAlign w:val="center"/>
          </w:tcPr>
          <w:p>
            <w:pPr>
              <w:jc w:val="center"/>
            </w:pPr>
            <w:r>
              <w:rPr>
                <w:rFonts w:ascii="Arial" w:cs="Arial" w:eastAsia="Arial" w:hAnsi="Arial"/>
                <w:b/>
                <w:bCs/>
                <w:color w:val="1B5E20"/>
                <w:sz w:val="52"/>
                <w:szCs w:val="52"/>
              </w:rPr>
              <w:t xml:space="preserve">83.4%</w:t>
            </w:r>
          </w:p>
          <w:p>
            <w:pPr>
              <w:jc w:val="center"/>
            </w:pPr>
            <w:r>
              <w:rPr>
                <w:rFonts w:ascii="Arial" w:cs="Arial" w:eastAsia="Arial" w:hAnsi="Arial"/>
                <w:color w:val="546E7A"/>
                <w:sz w:val="18"/>
                <w:szCs w:val="18"/>
              </w:rPr>
              <w:t xml:space="preserve">Accuracy</w:t>
            </w:r>
          </w:p>
        </w:tc>
        <w:tc>
          <w:tcPr>
            <w:tcW w:type="dxa" w:w="2340"/>
            <w:tcBorders>
              <w:top w:val="single" w:color="4CAF50" w:sz="4"/>
              <w:left w:val="none" w:color="FFFFFF" w:sz="0"/>
              <w:bottom w:val="single" w:color="4CAF50" w:sz="4"/>
              <w:right w:val="none" w:color="FFFFFF" w:sz="0"/>
            </w:tcBorders>
            <w:shd w:fill="E8F5E9" w:val="clear"/>
            <w:tcMar>
              <w:top w:type="dxa" w:w="160"/>
              <w:left w:type="dxa" w:w="80"/>
              <w:bottom w:type="dxa" w:w="160"/>
              <w:right w:type="dxa" w:w="80"/>
            </w:tcMar>
            <w:vAlign w:val="center"/>
          </w:tcPr>
          <w:p>
            <w:pPr>
              <w:jc w:val="center"/>
            </w:pPr>
            <w:r>
              <w:rPr>
                <w:rFonts w:ascii="Arial" w:cs="Arial" w:eastAsia="Arial" w:hAnsi="Arial"/>
                <w:b/>
                <w:bCs/>
                <w:color w:val="1B5E20"/>
                <w:sz w:val="52"/>
                <w:szCs w:val="52"/>
              </w:rPr>
              <w:t xml:space="preserve">84%</w:t>
            </w:r>
          </w:p>
          <w:p>
            <w:pPr>
              <w:jc w:val="center"/>
            </w:pPr>
            <w:r>
              <w:rPr>
                <w:rFonts w:ascii="Arial" w:cs="Arial" w:eastAsia="Arial" w:hAnsi="Arial"/>
                <w:color w:val="546E7A"/>
                <w:sz w:val="18"/>
                <w:szCs w:val="18"/>
              </w:rPr>
              <w:t xml:space="preserve">Precision</w:t>
            </w:r>
          </w:p>
        </w:tc>
        <w:tc>
          <w:tcPr>
            <w:tcW w:type="dxa" w:w="2340"/>
            <w:tcBorders>
              <w:top w:val="single" w:color="4CAF50" w:sz="4"/>
              <w:left w:val="none" w:color="FFFFFF" w:sz="0"/>
              <w:bottom w:val="single" w:color="4CAF50" w:sz="4"/>
              <w:right w:val="none" w:color="FFFFFF" w:sz="0"/>
            </w:tcBorders>
            <w:shd w:fill="E8F5E9" w:val="clear"/>
            <w:tcMar>
              <w:top w:type="dxa" w:w="160"/>
              <w:left w:type="dxa" w:w="80"/>
              <w:bottom w:type="dxa" w:w="160"/>
              <w:right w:type="dxa" w:w="80"/>
            </w:tcMar>
            <w:vAlign w:val="center"/>
          </w:tcPr>
          <w:p>
            <w:pPr>
              <w:jc w:val="center"/>
            </w:pPr>
            <w:r>
              <w:rPr>
                <w:rFonts w:ascii="Arial" w:cs="Arial" w:eastAsia="Arial" w:hAnsi="Arial"/>
                <w:b/>
                <w:bCs/>
                <w:color w:val="1B5E20"/>
                <w:sz w:val="52"/>
                <w:szCs w:val="52"/>
              </w:rPr>
              <w:t xml:space="preserve">83%</w:t>
            </w:r>
          </w:p>
          <w:p>
            <w:pPr>
              <w:jc w:val="center"/>
            </w:pPr>
            <w:r>
              <w:rPr>
                <w:rFonts w:ascii="Arial" w:cs="Arial" w:eastAsia="Arial" w:hAnsi="Arial"/>
                <w:color w:val="546E7A"/>
                <w:sz w:val="18"/>
                <w:szCs w:val="18"/>
              </w:rPr>
              <w:t xml:space="preserve">Recall</w:t>
            </w:r>
          </w:p>
        </w:tc>
        <w:tc>
          <w:tcPr>
            <w:tcW w:type="dxa" w:w="2340"/>
            <w:tcBorders>
              <w:top w:val="single" w:color="4CAF50" w:sz="4"/>
              <w:left w:val="none" w:color="FFFFFF" w:sz="0"/>
              <w:bottom w:val="single" w:color="4CAF50" w:sz="4"/>
              <w:right w:val="none" w:color="FFFFFF" w:sz="0"/>
            </w:tcBorders>
            <w:shd w:fill="E8F5E9" w:val="clear"/>
            <w:tcMar>
              <w:top w:type="dxa" w:w="160"/>
              <w:left w:type="dxa" w:w="80"/>
              <w:bottom w:type="dxa" w:w="160"/>
              <w:right w:type="dxa" w:w="80"/>
            </w:tcMar>
            <w:vAlign w:val="center"/>
          </w:tcPr>
          <w:p>
            <w:pPr>
              <w:jc w:val="center"/>
            </w:pPr>
            <w:r>
              <w:rPr>
                <w:rFonts w:ascii="Arial" w:cs="Arial" w:eastAsia="Arial" w:hAnsi="Arial"/>
                <w:b/>
                <w:bCs/>
                <w:color w:val="1B5E20"/>
                <w:sz w:val="52"/>
                <w:szCs w:val="52"/>
              </w:rPr>
              <w:t xml:space="preserve">83%</w:t>
            </w:r>
          </w:p>
          <w:p>
            <w:pPr>
              <w:jc w:val="center"/>
            </w:pPr>
            <w:r>
              <w:rPr>
                <w:rFonts w:ascii="Arial" w:cs="Arial" w:eastAsia="Arial" w:hAnsi="Arial"/>
                <w:color w:val="546E7A"/>
                <w:sz w:val="18"/>
                <w:szCs w:val="18"/>
              </w:rPr>
              <w:t xml:space="preserve">F1-Score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6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576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20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r>
              <w:rPr>
                <w:rFonts w:ascii="Arial" w:cs="Arial" w:eastAsia="Arial" w:hAnsi="Arial"/>
                <w:color w:val="37474F"/>
                <w:sz w:val="20"/>
                <w:szCs w:val="20"/>
              </w:rPr>
              <w:t xml:space="preserve">Accuracy</w:t>
            </w:r>
          </w:p>
        </w:tc>
        <w:tc>
          <w:tcPr>
            <w:tcW w:type="dxa" w:w="16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r>
              <w:rPr>
                <w:rFonts w:ascii="Arial" w:cs="Arial" w:eastAsia="Arial" w:hAnsi="Arial"/>
                <w:color w:val="37474F"/>
                <w:sz w:val="20"/>
                <w:szCs w:val="20"/>
              </w:rPr>
              <w:t xml:space="preserve">83.4%</w:t>
            </w:r>
          </w:p>
        </w:tc>
        <w:tc>
          <w:tcPr>
            <w:tcW w:type="dxa" w:w="576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r>
              <w:rPr>
                <w:rFonts w:ascii="Arial" w:cs="Arial" w:eastAsia="Arial" w:hAnsi="Arial"/>
                <w:color w:val="37474F"/>
                <w:sz w:val="20"/>
                <w:szCs w:val="20"/>
              </w:rPr>
              <w:t xml:space="preserve">Correctly classifies 8 out of every 10 disease images — strong baseline for agricultural AI deployment.</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Precision</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84%</w:t>
            </w:r>
          </w:p>
        </w:tc>
        <w:tc>
          <w:tcPr>
            <w:tcW w:type="dxa" w:w="5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Low false-positive rate — disease alerts are reliable. Farmers receive actionable alerts, not noise.</w:t>
            </w:r>
          </w:p>
        </w:tc>
      </w:tr>
      <w:tr>
        <w:tc>
          <w:tcPr>
            <w:tcW w:type="dxa" w:w="20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r>
              <w:rPr>
                <w:rFonts w:ascii="Arial" w:cs="Arial" w:eastAsia="Arial" w:hAnsi="Arial"/>
                <w:color w:val="37474F"/>
                <w:sz w:val="20"/>
                <w:szCs w:val="20"/>
              </w:rPr>
              <w:t xml:space="preserve">Recall</w:t>
            </w:r>
          </w:p>
        </w:tc>
        <w:tc>
          <w:tcPr>
            <w:tcW w:type="dxa" w:w="16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r>
              <w:rPr>
                <w:rFonts w:ascii="Arial" w:cs="Arial" w:eastAsia="Arial" w:hAnsi="Arial"/>
                <w:color w:val="37474F"/>
                <w:sz w:val="20"/>
                <w:szCs w:val="20"/>
              </w:rPr>
              <w:t xml:space="preserve">83%</w:t>
            </w:r>
          </w:p>
        </w:tc>
        <w:tc>
          <w:tcPr>
            <w:tcW w:type="dxa" w:w="576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r>
              <w:rPr>
                <w:rFonts w:ascii="Arial" w:cs="Arial" w:eastAsia="Arial" w:hAnsi="Arial"/>
                <w:color w:val="37474F"/>
                <w:sz w:val="20"/>
                <w:szCs w:val="20"/>
              </w:rPr>
              <w:t xml:space="preserve">High sensitivity — the model rarely misses an actual disease case. Critical for agricultural use where misses = crop loss.</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F1-Score</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83%</w:t>
            </w:r>
          </w:p>
        </w:tc>
        <w:tc>
          <w:tcPr>
            <w:tcW w:type="dxa" w:w="5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Balanced performance across all 38 classes despite the 35:1 imbalance ratio — proving augmentation strategy was effective.</w:t>
            </w:r>
          </w:p>
        </w:tc>
      </w:tr>
    </w:tbl>
    <w:p>
      <w:pPr>
        <w:spacing w:after="60" w:before="60"/>
      </w:pPr>
      <w:r>
        <w:t xml:space="preserve"/>
      </w:r>
    </w:p>
    <w:p>
      <w:pPr>
        <w:pStyle w:val="Heading2"/>
        <w:spacing w:after="80" w:before="240"/>
      </w:pPr>
      <w:r>
        <w:rPr>
          <w:rFonts w:ascii="Arial" w:cs="Arial" w:eastAsia="Arial" w:hAnsi="Arial"/>
          <w:b/>
          <w:bCs/>
          <w:color w:val="2E7D32"/>
          <w:sz w:val="26"/>
          <w:szCs w:val="26"/>
        </w:rPr>
        <w:t xml:space="preserve">5.2  Key Technical Insights</w:t>
      </w:r>
    </w:p>
    <w:p>
      <w:pPr>
        <w:spacing w:after="60" w:before="180"/>
      </w:pPr>
      <w:r>
        <w:rPr>
          <w:rFonts w:ascii="Arial" w:cs="Arial" w:eastAsia="Arial" w:hAnsi="Arial"/>
          <w:b/>
          <w:bCs/>
          <w:color w:val="00695C"/>
          <w:sz w:val="22"/>
          <w:szCs w:val="22"/>
        </w:rPr>
        <w:t xml:space="preserve">Class Imbalance — Solved</w:t>
      </w:r>
    </w:p>
    <w:p>
      <w:pPr>
        <w:pStyle w:val="ListParagraph"/>
        <w:numPr>
          <w:ilvl w:val="0"/>
          <w:numId w:val="2"/>
        </w:numPr>
        <w:spacing w:after="40" w:before="40"/>
      </w:pPr>
      <w:r>
        <w:rPr>
          <w:rFonts w:ascii="Arial" w:cs="Arial" w:eastAsia="Arial" w:hAnsi="Arial"/>
          <w:color w:val="37474F"/>
          <w:sz w:val="22"/>
          <w:szCs w:val="22"/>
        </w:rPr>
        <w:t xml:space="preserve">The 35.24:1 imbalance (Tomato Yellow Leaf Curl Virus: 5,357 images vs. Potato Healthy: 152 images) was mitigated through intensified augmentation on minority classes.</w:t>
      </w:r>
    </w:p>
    <w:p>
      <w:pPr>
        <w:pStyle w:val="ListParagraph"/>
        <w:numPr>
          <w:ilvl w:val="0"/>
          <w:numId w:val="2"/>
        </w:numPr>
        <w:spacing w:after="40" w:before="40"/>
      </w:pPr>
      <w:r>
        <w:rPr>
          <w:rFonts w:ascii="Arial" w:cs="Arial" w:eastAsia="Arial" w:hAnsi="Arial"/>
          <w:color w:val="37474F"/>
          <w:sz w:val="22"/>
          <w:szCs w:val="22"/>
        </w:rPr>
        <w:t xml:space="preserve">Result: Balanced 83% F1-Score across all 38 classes — no class was abandoned by the model.</w:t>
      </w:r>
    </w:p>
    <w:p>
      <w:pPr>
        <w:spacing w:after="60" w:before="60"/>
      </w:pPr>
      <w:r>
        <w:t xml:space="preserve"/>
      </w:r>
    </w:p>
    <w:p>
      <w:pPr>
        <w:spacing w:after="60" w:before="180"/>
      </w:pPr>
      <w:r>
        <w:rPr>
          <w:rFonts w:ascii="Arial" w:cs="Arial" w:eastAsia="Arial" w:hAnsi="Arial"/>
          <w:b/>
          <w:bCs/>
          <w:color w:val="00695C"/>
          <w:sz w:val="22"/>
          <w:szCs w:val="22"/>
        </w:rPr>
        <w:t xml:space="preserve">Lab-to-Field Gap — Bridged</w:t>
      </w:r>
    </w:p>
    <w:p>
      <w:pPr>
        <w:pStyle w:val="ListParagraph"/>
        <w:numPr>
          <w:ilvl w:val="0"/>
          <w:numId w:val="2"/>
        </w:numPr>
        <w:spacing w:after="40" w:before="40"/>
      </w:pPr>
      <w:r>
        <w:rPr>
          <w:rFonts w:ascii="Arial" w:cs="Arial" w:eastAsia="Arial" w:hAnsi="Arial"/>
          <w:color w:val="37474F"/>
          <w:sz w:val="22"/>
          <w:szCs w:val="22"/>
        </w:rPr>
        <w:t xml:space="preserve">EDA revealed all original images were captured in clean lab environments with uniform backgrounds — fundamentally different from field conditions.</w:t>
      </w:r>
    </w:p>
    <w:p>
      <w:pPr>
        <w:pStyle w:val="ListParagraph"/>
        <w:numPr>
          <w:ilvl w:val="0"/>
          <w:numId w:val="2"/>
        </w:numPr>
        <w:spacing w:after="40" w:before="40"/>
      </w:pPr>
      <w:r>
        <w:rPr>
          <w:rFonts w:ascii="Arial" w:cs="Arial" w:eastAsia="Arial" w:hAnsi="Arial"/>
          <w:color w:val="37474F"/>
          <w:sz w:val="22"/>
          <w:szCs w:val="22"/>
        </w:rPr>
        <w:t xml:space="preserve">Heavy augmentation (noise, blur, brightness shift, rotation) synthesized 'infinite' field-condition variations, training the model to ignore background and focus on disease symptoms.</w:t>
      </w:r>
    </w:p>
    <w:p>
      <w:pPr>
        <w:spacing w:after="60" w:before="60"/>
      </w:pPr>
      <w:r>
        <w:t xml:space="preserve"/>
      </w:r>
    </w:p>
    <w:p>
      <w:pPr>
        <w:spacing w:after="60" w:before="180"/>
      </w:pPr>
      <w:r>
        <w:rPr>
          <w:rFonts w:ascii="Arial" w:cs="Arial" w:eastAsia="Arial" w:hAnsi="Arial"/>
          <w:b/>
          <w:bCs/>
          <w:color w:val="00695C"/>
          <w:sz w:val="22"/>
          <w:szCs w:val="22"/>
        </w:rPr>
        <w:t xml:space="preserve">MLflow Lifecycle — Production-Grade Reproducibility</w:t>
      </w:r>
    </w:p>
    <w:p>
      <w:pPr>
        <w:pStyle w:val="ListParagraph"/>
        <w:numPr>
          <w:ilvl w:val="0"/>
          <w:numId w:val="2"/>
        </w:numPr>
        <w:spacing w:after="40" w:before="40"/>
      </w:pPr>
      <w:r>
        <w:rPr>
          <w:rFonts w:ascii="Arial" w:cs="Arial" w:eastAsia="Arial" w:hAnsi="Arial"/>
          <w:color w:val="37474F"/>
          <w:sz w:val="22"/>
          <w:szCs w:val="22"/>
        </w:rPr>
        <w:t xml:space="preserve">Every experiment is fully reproducible: random_state=42 fixes data splits; MLflow logs all hyperparameters, metrics, and artifacts per epoch.</w:t>
      </w:r>
    </w:p>
    <w:p>
      <w:pPr>
        <w:pStyle w:val="ListParagraph"/>
        <w:numPr>
          <w:ilvl w:val="0"/>
          <w:numId w:val="2"/>
        </w:numPr>
        <w:spacing w:after="40" w:before="40"/>
      </w:pPr>
      <w:r>
        <w:rPr>
          <w:rFonts w:ascii="Arial" w:cs="Arial" w:eastAsia="Arial" w:hAnsi="Arial"/>
          <w:color w:val="37474F"/>
          <w:sz w:val="22"/>
          <w:szCs w:val="22"/>
        </w:rPr>
        <w:t xml:space="preserve">Automated Quality Gate eliminated human bias from deployment decisions — only models meeting Accuracy &gt; 80% AND balanced F1 threshold are promoted.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4"/>
              <w:left w:val="single" w:color="4CAF50" w:sz="12"/>
              <w:bottom w:val="single" w:color="4CAF50" w:sz="4"/>
              <w:right w:val="none" w:color="FFFFFF" w:sz="0"/>
            </w:tcBorders>
            <w:shd w:fill="E8F5E9" w:val="clear"/>
            <w:tcMar>
              <w:top w:type="dxa" w:w="120"/>
              <w:left w:type="dxa" w:w="180"/>
              <w:bottom w:type="dxa" w:w="120"/>
              <w:right w:type="dxa" w:w="180"/>
            </w:tcMar>
          </w:tcPr>
          <w:p>
            <w:pPr>
              <w:spacing w:after="40" w:before="60"/>
            </w:pPr>
            <w:r>
              <w:rPr>
                <w:rFonts w:ascii="Arial" w:cs="Arial" w:eastAsia="Arial" w:hAnsi="Arial"/>
                <w:b/>
                <w:bCs/>
                <w:color w:val="1B5E20"/>
                <w:sz w:val="22"/>
                <w:szCs w:val="22"/>
              </w:rPr>
              <w:t xml:space="preserve">Synthesis — What the Numbers Mean</w:t>
            </w:r>
          </w:p>
          <w:p>
            <w:pPr>
              <w:spacing w:after="60" w:before="40"/>
            </w:pPr>
            <w:r>
              <w:rPr>
                <w:rFonts w:ascii="Arial" w:cs="Arial" w:eastAsia="Arial" w:hAnsi="Arial"/>
                <w:color w:val="37474F"/>
                <w:sz w:val="22"/>
                <w:szCs w:val="22"/>
              </w:rPr>
              <w:t xml:space="preserve">An 83.4% accuracy on 38 classes with a 35:1 imbalance ratio is not just a metric — it is evidence that the engineering decisions were correct. The combination of two-stage fine-tuning, per-class splitting, and in-graph augmentation produced a model that generalizes rather than memorizes. The balanced F1-Score proves that rare diseases receive the same detection reliability as common ones — which is the actual measure of success for a real-world agricultural tool.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5E20" w:val="clear"/>
            <w:tcMar>
              <w:top w:type="dxa" w:w="160"/>
              <w:left w:type="dxa" w:w="240"/>
              <w:bottom w:type="dxa" w:w="160"/>
              <w:right w:type="dxa" w:w="240"/>
            </w:tcMar>
          </w:tcPr>
          <w:p>
            <w:pPr>
              <w:jc w:val="left"/>
            </w:pPr>
            <w:r>
              <w:rPr>
                <w:rFonts w:ascii="Arial" w:cs="Arial" w:eastAsia="Arial" w:hAnsi="Arial"/>
                <w:b/>
                <w:bCs/>
                <w:color w:val="FFFFFF"/>
                <w:sz w:val="34"/>
                <w:szCs w:val="34"/>
              </w:rPr>
              <w:t xml:space="preserve">🚀  6. Next Steps &amp; Recommendations</w:t>
            </w:r>
          </w:p>
        </w:tc>
      </w:tr>
    </w:tbl>
    <w:p>
      <w:pPr>
        <w:spacing w:after="60" w:before="60"/>
      </w:pPr>
      <w:r>
        <w:t xml:space="preserve"/>
      </w:r>
    </w:p>
    <w:p>
      <w:pPr>
        <w:pStyle w:val="Heading2"/>
        <w:spacing w:after="80" w:before="240"/>
      </w:pPr>
      <w:r>
        <w:rPr>
          <w:rFonts w:ascii="Arial" w:cs="Arial" w:eastAsia="Arial" w:hAnsi="Arial"/>
          <w:b/>
          <w:bCs/>
          <w:color w:val="2E7D32"/>
          <w:sz w:val="26"/>
          <w:szCs w:val="26"/>
        </w:rPr>
        <w:t xml:space="preserve">6.1  Model Improvement Roadmap</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200"/>
        <w:gridCol w:w="3760"/>
        <w:gridCol w:w="1400"/>
      </w:tblGrid>
      <w:tr>
        <w:trPr>
          <w:tblHeader/>
        </w:trPr>
        <w:tc>
          <w:tcPr>
            <w:tcW w:type="dxa" w:w="32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c>
          <w:tcPr>
            <w:tcW w:type="dxa" w:w="376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Expected Impact</w:t>
            </w:r>
          </w:p>
        </w:tc>
        <w:tc>
          <w:tcPr>
            <w:tcW w:type="dxa" w:w="14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2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r>
              <w:rPr>
                <w:rFonts w:ascii="Arial" w:cs="Arial" w:eastAsia="Arial" w:hAnsi="Arial"/>
                <w:color w:val="37474F"/>
                <w:sz w:val="20"/>
                <w:szCs w:val="20"/>
              </w:rPr>
              <w:t xml:space="preserve">Expand to EfficientNetV2 backbone</w:t>
            </w:r>
          </w:p>
        </w:tc>
        <w:tc>
          <w:tcPr>
            <w:tcW w:type="dxa" w:w="376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r>
              <w:rPr>
                <w:rFonts w:ascii="Arial" w:cs="Arial" w:eastAsia="Arial" w:hAnsi="Arial"/>
                <w:color w:val="37474F"/>
                <w:sz w:val="20"/>
                <w:szCs w:val="20"/>
              </w:rPr>
              <w:t xml:space="preserve">Potential +3–5% accuracy gain with similar compute cost</w:t>
            </w:r>
          </w:p>
        </w:tc>
        <w:tc>
          <w:tcPr>
            <w:tcW w:type="dxa" w:w="14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r>
              <w:rPr>
                <w:rFonts w:ascii="Arial" w:cs="Arial" w:eastAsia="Arial" w:hAnsi="Arial"/>
                <w:color w:val="37474F"/>
                <w:sz w:val="20"/>
                <w:szCs w:val="20"/>
              </w:rPr>
              <w:t xml:space="preserve">High</w:t>
            </w:r>
          </w:p>
        </w:tc>
      </w:tr>
      <w:tr>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Integrate real field images from partner farms</w:t>
            </w:r>
          </w:p>
        </w:tc>
        <w:tc>
          <w:tcPr>
            <w:tcW w:type="dxa" w:w="3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Eliminate the remaining lab-to-field gap with authentic data</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High</w:t>
            </w:r>
          </w:p>
        </w:tc>
      </w:tr>
      <w:tr>
        <w:tc>
          <w:tcPr>
            <w:tcW w:type="dxa" w:w="32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r>
              <w:rPr>
                <w:rFonts w:ascii="Arial" w:cs="Arial" w:eastAsia="Arial" w:hAnsi="Arial"/>
                <w:color w:val="37474F"/>
                <w:sz w:val="20"/>
                <w:szCs w:val="20"/>
              </w:rPr>
              <w:t xml:space="preserve">Per-class loss weighting (class_weight parameter)</w:t>
            </w:r>
          </w:p>
        </w:tc>
        <w:tc>
          <w:tcPr>
            <w:tcW w:type="dxa" w:w="376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r>
              <w:rPr>
                <w:rFonts w:ascii="Arial" w:cs="Arial" w:eastAsia="Arial" w:hAnsi="Arial"/>
                <w:color w:val="37474F"/>
                <w:sz w:val="20"/>
                <w:szCs w:val="20"/>
              </w:rPr>
              <w:t xml:space="preserve">Further boost recall for the most underrepresented classes</w:t>
            </w:r>
          </w:p>
        </w:tc>
        <w:tc>
          <w:tcPr>
            <w:tcW w:type="dxa" w:w="14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r>
              <w:rPr>
                <w:rFonts w:ascii="Arial" w:cs="Arial" w:eastAsia="Arial" w:hAnsi="Arial"/>
                <w:color w:val="37474F"/>
                <w:sz w:val="20"/>
                <w:szCs w:val="20"/>
              </w:rPr>
              <w:t xml:space="preserve">Medium</w:t>
            </w:r>
          </w:p>
        </w:tc>
      </w:tr>
      <w:tr>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Self-supervised pre-training on unlabeled plant data</w:t>
            </w:r>
          </w:p>
        </w:tc>
        <w:tc>
          <w:tcPr>
            <w:tcW w:type="dxa" w:w="3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Leverage large unlabeled agricultural datasets for feature richness</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Medium</w:t>
            </w:r>
          </w:p>
        </w:tc>
      </w:tr>
      <w:tr>
        <w:tc>
          <w:tcPr>
            <w:tcW w:type="dxa" w:w="32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r>
              <w:rPr>
                <w:rFonts w:ascii="Arial" w:cs="Arial" w:eastAsia="Arial" w:hAnsi="Arial"/>
                <w:color w:val="37474F"/>
                <w:sz w:val="20"/>
                <w:szCs w:val="20"/>
              </w:rPr>
              <w:t xml:space="preserve">Continuous learning pipeline with drift detection</w:t>
            </w:r>
          </w:p>
        </w:tc>
        <w:tc>
          <w:tcPr>
            <w:tcW w:type="dxa" w:w="376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r>
              <w:rPr>
                <w:rFonts w:ascii="Arial" w:cs="Arial" w:eastAsia="Arial" w:hAnsi="Arial"/>
                <w:color w:val="37474F"/>
                <w:sz w:val="20"/>
                <w:szCs w:val="20"/>
              </w:rPr>
              <w:t xml:space="preserve">Automatically retrain when production data distribution shifts</w:t>
            </w:r>
          </w:p>
        </w:tc>
        <w:tc>
          <w:tcPr>
            <w:tcW w:type="dxa" w:w="14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r>
              <w:rPr>
                <w:rFonts w:ascii="Arial" w:cs="Arial" w:eastAsia="Arial" w:hAnsi="Arial"/>
                <w:color w:val="37474F"/>
                <w:sz w:val="20"/>
                <w:szCs w:val="20"/>
              </w:rPr>
              <w:t xml:space="preserve">Low</w:t>
            </w:r>
          </w:p>
        </w:tc>
      </w:tr>
    </w:tbl>
    <w:p>
      <w:pPr>
        <w:spacing w:after="60" w:before="60"/>
      </w:pPr>
      <w:r>
        <w:t xml:space="preserve"/>
      </w:r>
    </w:p>
    <w:p>
      <w:pPr>
        <w:pStyle w:val="Heading2"/>
        <w:spacing w:after="80" w:before="240"/>
      </w:pPr>
      <w:r>
        <w:rPr>
          <w:rFonts w:ascii="Arial" w:cs="Arial" w:eastAsia="Arial" w:hAnsi="Arial"/>
          <w:b/>
          <w:bCs/>
          <w:color w:val="2E7D32"/>
          <w:sz w:val="26"/>
          <w:szCs w:val="26"/>
        </w:rPr>
        <w:t xml:space="preserve">6.2  Deployment Plan</w:t>
      </w:r>
    </w:p>
    <w:p>
      <w:pPr>
        <w:pStyle w:val="ListParagraph"/>
        <w:numPr>
          <w:ilvl w:val="0"/>
          <w:numId w:val="2"/>
        </w:numPr>
        <w:spacing w:after="40" w:before="40"/>
      </w:pPr>
      <w:r>
        <w:rPr>
          <w:rFonts w:ascii="Arial" w:cs="Arial" w:eastAsia="Arial" w:hAnsi="Arial"/>
          <w:color w:val="37474F"/>
          <w:sz w:val="22"/>
          <w:szCs w:val="22"/>
        </w:rPr>
        <w:t xml:space="preserve">Phase 1 — API Deployment: Wrap the MLflow-registered PlantDiseaseWrapper in a FastAPI service. Deploy on cloud GPU instance (AWS SageMaker / GCP Vertex AI). Target: sub-3-second inference latency.</w:t>
      </w:r>
    </w:p>
    <w:p>
      <w:pPr>
        <w:pStyle w:val="ListParagraph"/>
        <w:numPr>
          <w:ilvl w:val="0"/>
          <w:numId w:val="2"/>
        </w:numPr>
        <w:spacing w:after="40" w:before="40"/>
      </w:pPr>
      <w:r>
        <w:rPr>
          <w:rFonts w:ascii="Arial" w:cs="Arial" w:eastAsia="Arial" w:hAnsi="Arial"/>
          <w:color w:val="37474F"/>
          <w:sz w:val="22"/>
          <w:szCs w:val="22"/>
        </w:rPr>
        <w:t xml:space="preserve">Phase 2 — Mobile Integration: Export model to TensorFlow Lite for on-device inference on Android/iOS. Enables offline use in remote agricultural areas with no internet connectivity.</w:t>
      </w:r>
    </w:p>
    <w:p>
      <w:pPr>
        <w:pStyle w:val="ListParagraph"/>
        <w:numPr>
          <w:ilvl w:val="0"/>
          <w:numId w:val="2"/>
        </w:numPr>
        <w:spacing w:after="40" w:before="40"/>
      </w:pPr>
      <w:r>
        <w:rPr>
          <w:rFonts w:ascii="Arial" w:cs="Arial" w:eastAsia="Arial" w:hAnsi="Arial"/>
          <w:color w:val="37474F"/>
          <w:sz w:val="22"/>
          <w:szCs w:val="22"/>
        </w:rPr>
        <w:t xml:space="preserve">Phase 3 — Field Pilot: Partner with 2–3 agricultural cooperatives for a 90-day pilot. Collect real field images to build a domain-adaptation dataset for the next model version.</w:t>
      </w:r>
    </w:p>
    <w:p>
      <w:pPr>
        <w:pStyle w:val="ListParagraph"/>
        <w:numPr>
          <w:ilvl w:val="0"/>
          <w:numId w:val="2"/>
        </w:numPr>
        <w:spacing w:after="40" w:before="40"/>
      </w:pPr>
      <w:r>
        <w:rPr>
          <w:rFonts w:ascii="Arial" w:cs="Arial" w:eastAsia="Arial" w:hAnsi="Arial"/>
          <w:color w:val="37474F"/>
          <w:sz w:val="22"/>
          <w:szCs w:val="22"/>
        </w:rPr>
        <w:t xml:space="preserve">Phase 4 — Monitoring &amp; Retraining: Implement data drift detection (Evidently AI or custom MLflow plugin). Trigger automated retraining when model accuracy drops below 80% on production traffic.</w:t>
      </w:r>
    </w:p>
    <w:p>
      <w:pPr>
        <w:spacing w:after="60" w:before="60"/>
      </w:pPr>
      <w:r>
        <w:t xml:space="preserve"/>
      </w:r>
    </w:p>
    <w:p>
      <w:pPr>
        <w:pStyle w:val="Heading2"/>
        <w:spacing w:after="80" w:before="240"/>
      </w:pPr>
      <w:r>
        <w:rPr>
          <w:rFonts w:ascii="Arial" w:cs="Arial" w:eastAsia="Arial" w:hAnsi="Arial"/>
          <w:b/>
          <w:bCs/>
          <w:color w:val="2E7D32"/>
          <w:sz w:val="26"/>
          <w:szCs w:val="26"/>
        </w:rPr>
        <w:t xml:space="preserve">6.3  Resources Required for Next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36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c>
          <w:tcPr>
            <w:tcW w:type="dxa" w:w="316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6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r>
              <w:rPr>
                <w:rFonts w:ascii="Arial" w:cs="Arial" w:eastAsia="Arial" w:hAnsi="Arial"/>
                <w:color w:val="37474F"/>
                <w:sz w:val="20"/>
                <w:szCs w:val="20"/>
              </w:rPr>
              <w:t xml:space="preserve">Cloud GPU Instance</w:t>
            </w:r>
          </w:p>
        </w:tc>
        <w:tc>
          <w:tcPr>
            <w:tcW w:type="dxa" w:w="36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r>
              <w:rPr>
                <w:rFonts w:ascii="Arial" w:cs="Arial" w:eastAsia="Arial" w:hAnsi="Arial"/>
                <w:color w:val="37474F"/>
                <w:sz w:val="20"/>
                <w:szCs w:val="20"/>
              </w:rPr>
              <w:t xml:space="preserve">NVIDIA A10G or equivalent — 24GB VRAM</w:t>
            </w:r>
          </w:p>
        </w:tc>
        <w:tc>
          <w:tcPr>
            <w:tcW w:type="dxa" w:w="316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r>
              <w:rPr>
                <w:rFonts w:ascii="Arial" w:cs="Arial" w:eastAsia="Arial" w:hAnsi="Arial"/>
                <w:color w:val="37474F"/>
                <w:sz w:val="20"/>
                <w:szCs w:val="20"/>
              </w:rPr>
              <w:t xml:space="preserve">API inference + potential retraining runs</w:t>
            </w:r>
          </w:p>
        </w:tc>
      </w:tr>
      <w:tr>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Storage</w:t>
            </w:r>
          </w:p>
        </w:tc>
        <w:tc>
          <w:tcPr>
            <w:tcW w:type="dxa" w:w="3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500GB S3 / GCS bucket</w:t>
            </w:r>
          </w:p>
        </w:tc>
        <w:tc>
          <w:tcPr>
            <w:tcW w:type="dxa" w:w="3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MLflow artifact store + field image accumulation</w:t>
            </w:r>
          </w:p>
        </w:tc>
      </w:tr>
      <w:tr>
        <w:tc>
          <w:tcPr>
            <w:tcW w:type="dxa" w:w="26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r>
              <w:rPr>
                <w:rFonts w:ascii="Arial" w:cs="Arial" w:eastAsia="Arial" w:hAnsi="Arial"/>
                <w:color w:val="37474F"/>
                <w:sz w:val="20"/>
                <w:szCs w:val="20"/>
              </w:rPr>
              <w:t xml:space="preserve">MLflow Tracking Server</w:t>
            </w:r>
          </w:p>
        </w:tc>
        <w:tc>
          <w:tcPr>
            <w:tcW w:type="dxa" w:w="36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r>
              <w:rPr>
                <w:rFonts w:ascii="Arial" w:cs="Arial" w:eastAsia="Arial" w:hAnsi="Arial"/>
                <w:color w:val="37474F"/>
                <w:sz w:val="20"/>
                <w:szCs w:val="20"/>
              </w:rPr>
              <w:t xml:space="preserve">Managed MLflow or self-hosted on EC2</w:t>
            </w:r>
          </w:p>
        </w:tc>
        <w:tc>
          <w:tcPr>
            <w:tcW w:type="dxa" w:w="316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r>
              <w:rPr>
                <w:rFonts w:ascii="Arial" w:cs="Arial" w:eastAsia="Arial" w:hAnsi="Arial"/>
                <w:color w:val="37474F"/>
                <w:sz w:val="20"/>
                <w:szCs w:val="20"/>
              </w:rPr>
              <w:t xml:space="preserve">Continuous experiment governance</w:t>
            </w:r>
          </w:p>
        </w:tc>
      </w:tr>
      <w:tr>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Engineering Time</w:t>
            </w:r>
          </w:p>
        </w:tc>
        <w:tc>
          <w:tcPr>
            <w:tcW w:type="dxa" w:w="3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2 engineers × 6 weeks</w:t>
            </w:r>
          </w:p>
        </w:tc>
        <w:tc>
          <w:tcPr>
            <w:tcW w:type="dxa" w:w="3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37474F"/>
                <w:sz w:val="20"/>
                <w:szCs w:val="20"/>
              </w:rPr>
              <w:t xml:space="preserve">API development, mobile optimization, pilot coordination</w:t>
            </w:r>
          </w:p>
        </w:tc>
      </w:tr>
      <w:tr>
        <w:tc>
          <w:tcPr>
            <w:tcW w:type="dxa" w:w="26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r>
              <w:rPr>
                <w:rFonts w:ascii="Arial" w:cs="Arial" w:eastAsia="Arial" w:hAnsi="Arial"/>
                <w:color w:val="37474F"/>
                <w:sz w:val="20"/>
                <w:szCs w:val="20"/>
              </w:rPr>
              <w:t xml:space="preserve">Field Partnership Budget</w:t>
            </w:r>
          </w:p>
        </w:tc>
        <w:tc>
          <w:tcPr>
            <w:tcW w:type="dxa" w:w="360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r>
              <w:rPr>
                <w:rFonts w:ascii="Arial" w:cs="Arial" w:eastAsia="Arial" w:hAnsi="Arial"/>
                <w:color w:val="37474F"/>
                <w:sz w:val="20"/>
                <w:szCs w:val="20"/>
              </w:rPr>
              <w:t xml:space="preserve">Partner agreements with 2–3 agricultural cooperatives</w:t>
            </w:r>
          </w:p>
        </w:tc>
        <w:tc>
          <w:tcPr>
            <w:tcW w:type="dxa" w:w="3160"/>
            <w:tcBorders>
              <w:top w:val="single" w:color="BDBDBD" w:sz="1"/>
              <w:left w:val="single" w:color="BDBDBD" w:sz="1"/>
              <w:bottom w:val="single" w:color="BDBDBD" w:sz="1"/>
              <w:right w:val="single" w:color="BDBDBD" w:sz="1"/>
            </w:tcBorders>
            <w:shd w:fill="F1F8E9" w:val="clear"/>
            <w:tcMar>
              <w:top w:type="dxa" w:w="80"/>
              <w:left w:type="dxa" w:w="120"/>
              <w:bottom w:type="dxa" w:w="80"/>
              <w:right w:type="dxa" w:w="120"/>
            </w:tcMar>
          </w:tcPr>
          <w:p>
            <w:r>
              <w:rPr>
                <w:rFonts w:ascii="Arial" w:cs="Arial" w:eastAsia="Arial" w:hAnsi="Arial"/>
                <w:color w:val="37474F"/>
                <w:sz w:val="20"/>
                <w:szCs w:val="20"/>
              </w:rPr>
              <w:t xml:space="preserve">Real-world data collection and validation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4"/>
              <w:left w:val="single" w:color="F9A825" w:sz="12"/>
              <w:bottom w:val="single" w:color="F9A825" w:sz="4"/>
              <w:right w:val="none" w:color="FFFFFF" w:sz="0"/>
            </w:tcBorders>
            <w:shd w:fill="FFFDE7" w:val="clear"/>
            <w:tcMar>
              <w:top w:type="dxa" w:w="120"/>
              <w:left w:type="dxa" w:w="180"/>
              <w:bottom w:type="dxa" w:w="120"/>
              <w:right w:type="dxa" w:w="180"/>
            </w:tcMar>
          </w:tcPr>
          <w:p>
            <w:pPr>
              <w:spacing w:after="60" w:before="60"/>
            </w:pPr>
            <w:r>
              <w:rPr>
                <w:rFonts w:ascii="Arial" w:cs="Arial" w:eastAsia="Arial" w:hAnsi="Arial"/>
                <w:b/>
                <w:bCs/>
                <w:color w:val="37474F"/>
                <w:sz w:val="22"/>
                <w:szCs w:val="22"/>
              </w:rPr>
              <w:t xml:space="preserve">Closing Statement</w:t>
            </w:r>
          </w:p>
          <w:p>
            <w:pPr>
              <w:spacing w:after="60" w:before="40"/>
            </w:pPr>
            <w:r>
              <w:rPr>
                <w:rFonts w:ascii="Arial" w:cs="Arial" w:eastAsia="Arial" w:hAnsi="Arial"/>
                <w:i/>
                <w:iCs/>
                <w:color w:val="37474F"/>
                <w:sz w:val="22"/>
                <w:szCs w:val="22"/>
              </w:rPr>
              <w:t xml:space="preserve">This system does not merely detect plant diseases — it demonstrates what production-grade AI engineering looks like end-to-end: from data integrity verification through automated quality gating to registry-governed deployment. The next phase converts this foundation into a field-deployable tool that delivers real agricultural value. The model is ready. The decision is yours.</w:t>
            </w:r>
          </w:p>
        </w:tc>
      </w:tr>
    </w:tbl>
    <w:p>
      <w:pPr>
        <w:spacing w:after="120" w:before="120"/>
      </w:pPr>
      <w:r>
        <w:t xml:space="preserve"/>
      </w:r>
    </w:p>
    <w:p>
      <w:pPr>
        <w:spacing w:after="60" w:before="120"/>
        <w:jc w:val="center"/>
      </w:pPr>
      <w:r>
        <w:rPr>
          <w:rFonts w:ascii="Arial" w:cs="Arial" w:eastAsia="Arial" w:hAnsi="Arial"/>
          <w:b/>
          <w:bCs/>
          <w:color w:val="1B5E20"/>
          <w:sz w:val="26"/>
          <w:szCs w:val="26"/>
        </w:rPr>
        <w:t xml:space="preserve">🌿  Plant Disease Intelligence Platform</w:t>
      </w:r>
    </w:p>
    <w:p>
      <w:pPr>
        <w:spacing w:after="40" w:before="40"/>
        <w:jc w:val="center"/>
      </w:pPr>
      <w:r>
        <w:rPr>
          <w:rFonts w:ascii="Arial" w:cs="Arial" w:eastAsia="Arial" w:hAnsi="Arial"/>
          <w:i/>
          <w:iCs/>
          <w:color w:val="546E7A"/>
          <w:sz w:val="20"/>
          <w:szCs w:val="20"/>
        </w:rPr>
        <w:t xml:space="preserve">Production-Grade AI System  •  End-to-End MLOps Lifecycle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5E20"/>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D3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2026-04-13T11:58:50.378Z</dcterms:created>
  <dcterms:modified xsi:type="dcterms:W3CDTF">2026-04-13T11:58:50.378Z</dcterms:modified>
</cp:coreProperties>
</file>

<file path=docProps/custom.xml><?xml version="1.0" encoding="utf-8"?>
<Properties xmlns="http://schemas.openxmlformats.org/officeDocument/2006/custom-properties" xmlns:vt="http://schemas.openxmlformats.org/officeDocument/2006/docPropsVTypes"/>
</file>