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r>
        <w:t xml:space="preserve"/>
      </w:r>
    </w:p>
    <w:p>
      <w:pPr>
        <w:spacing w:before="0" w:after="0"/>
        <w:jc w:val="center"/>
      </w:pPr>
      <w:r>
        <w:rPr>
          <w:sz w:val="96"/>
          <w:szCs w:val="96"/>
        </w:rPr>
        <w:t xml:space="preserve">🛡️</w:t>
      </w:r>
    </w:p>
    <w:p>
      <w:pPr>
        <w:spacing w:before="200"/>
      </w:pPr>
      <w:r>
        <w:t xml:space="preserve"/>
      </w:r>
    </w:p>
    <w:p>
      <w:pPr>
        <w:spacing w:before="0" w:after="120"/>
        <w:jc w:val="center"/>
      </w:pPr>
      <w:r>
        <w:rPr>
          <w:b/>
          <w:bCs/>
          <w:color w:val="1E3A5F"/>
          <w:sz w:val="56"/>
          <w:szCs w:val="56"/>
        </w:rPr>
        <w:t xml:space="preserve">Deep-Hybrid Fraud Detection</w:t>
      </w:r>
    </w:p>
    <w:p>
      <w:pPr>
        <w:spacing w:before="0" w:after="120"/>
        <w:jc w:val="center"/>
      </w:pPr>
      <w:r>
        <w:rPr>
          <w:color w:val="2E75B6"/>
          <w:sz w:val="32"/>
          <w:szCs w:val="32"/>
        </w:rPr>
        <w:t xml:space="preserve">Production-Grade Technical Documentation</w:t>
      </w:r>
    </w:p>
    <w:p>
      <w:pPr>
        <w:spacing w:before="0" w:after="400"/>
        <w:jc w:val="center"/>
      </w:pPr>
      <w:r>
        <w:rPr>
          <w:i/>
          <w:iCs/>
          <w:color w:val="4B5563"/>
          <w:sz w:val="24"/>
          <w:szCs w:val="24"/>
        </w:rPr>
        <w:t xml:space="preserve">Autoencoder Neural Network</w:t>
      </w:r>
      <w:r>
        <w:rPr>
          <w:color w:val="4B5563"/>
          <w:sz w:val="24"/>
          <w:szCs w:val="24"/>
        </w:rPr>
        <w:t xml:space="preserve">  •  </w:t>
      </w:r>
      <w:r>
        <w:rPr>
          <w:i/>
          <w:iCs/>
          <w:color w:val="4B5563"/>
          <w:sz w:val="24"/>
          <w:szCs w:val="24"/>
        </w:rPr>
        <w:t xml:space="preserve">Isolation Forest</w:t>
      </w:r>
      <w:r>
        <w:rPr>
          <w:color w:val="4B5563"/>
          <w:sz w:val="24"/>
          <w:szCs w:val="24"/>
        </w:rPr>
        <w:t xml:space="preserve">  •  </w:t>
      </w:r>
      <w:r>
        <w:rPr>
          <w:i/>
          <w:iCs/>
          <w:color w:val="4B5563"/>
          <w:sz w:val="24"/>
          <w:szCs w:val="24"/>
        </w:rPr>
        <w:t xml:space="preserve">MLflow MLOps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6000"/>
      </w:tblGrid>
      <w:tr>
        <w:tc>
          <w:tcPr>
            <w:tcBorders>
              <w:top w:val="none"/>
              <w:left w:val="none"/>
              <w:bottom w:val="none"/>
              <w:right w:val="none"/>
            </w:tcBorders>
            <w:shd w:fill="1E3A5F" w:val="clear"/>
            <w:tcMar>
              <w:top w:type="dxa" w:w="200"/>
              <w:left w:type="dxa" w:w="300"/>
              <w:bottom w:type="dxa" w:w="160"/>
              <w:right w:type="dxa" w:w="300"/>
            </w:tcMar>
          </w:tcPr>
          <w:p>
            <w:pPr>
              <w:jc w:val="center"/>
            </w:pPr>
            <w:r>
              <w:rPr>
                <w:b/>
                <w:bCs/>
                <w:color w:val="FFFFFF"/>
                <w:sz w:val="26"/>
                <w:szCs w:val="26"/>
              </w:rPr>
              <w:t xml:space="preserve">Key Performance Metrics</w:t>
            </w:r>
          </w:p>
          <w:p>
            <w:pPr>
              <w:spacing w:before="80"/>
              <w:jc w:val="center"/>
            </w:pPr>
            <w:r>
              <w:rPr>
                <w:color w:val="B3D4F0"/>
                <w:sz w:val="22"/>
                <w:szCs w:val="22"/>
              </w:rPr>
              <w:t xml:space="preserve">Recall: 83.33%  |  Accuracy: 93.59%  |  Precision: 2.03%  |  Latent Dim: 10</w:t>
            </w:r>
          </w:p>
        </w:tc>
      </w:tr>
    </w:tbl>
    <w:p>
      <w:pPr>
        <w:spacing w:before="300"/>
      </w:pPr>
      <w:r>
        <w:t xml:space="preserve"/>
      </w:r>
    </w:p>
    <w:p>
      <w:pPr>
        <w:jc w:val="center"/>
      </w:pPr>
      <w:r>
        <w:rPr>
          <w:color w:val="374151"/>
          <w:sz w:val="22"/>
          <w:szCs w:val="22"/>
        </w:rPr>
        <w:t xml:space="preserve">284,807 Transactions Analyzed  •  Hybrid AE + ISO Architecture  •  Real-Time Inference</w:t>
      </w:r>
    </w:p>
    <w:p>
      <w:r>
        <w:br/>
      </w:r>
    </w:p>
    <w:p>
      <w:pPr>
        <w:pBdr>
          <w:left w:val="single" w:color="2E75B6" w:sz="24" w:space="4"/>
        </w:pBdr>
        <w:shd w:fill="F5F7FA" w:val="clear"/>
        <w:spacing w:before="360" w:after="160"/>
        <w:ind w:left="180"/>
      </w:pPr>
      <w:r>
        <w:rPr>
          <w:sz w:val="36"/>
          <w:szCs w:val="36"/>
        </w:rPr>
        <w:t xml:space="preserve">🎯  </w:t>
      </w:r>
      <w:r>
        <w:rPr>
          <w:b/>
          <w:bCs/>
          <w:color w:val="1E3A5F"/>
          <w:sz w:val="36"/>
          <w:szCs w:val="36"/>
        </w:rPr>
        <w:t xml:space="preserve">Project Objective</w:t>
      </w:r>
    </w:p>
    <w:p>
      <w:pPr>
        <w:pBdr>
          <w:bottom w:val="single" w:color="2E75B6" w:sz="6" w:space="1"/>
        </w:pBdr>
        <w:spacing w:before="0" w:after="120"/>
      </w:pPr>
    </w:p>
    <w:p>
      <w:pPr>
        <w:spacing w:before="120"/>
      </w:pPr>
      <w: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Borders>
              <w:top w:val="none" w:sz="0"/>
              <w:left w:val="none" w:sz="0"/>
              <w:bottom w:val="none" w:sz="0"/>
              <w:right w:val="none" w:sz="0"/>
            </w:tcBorders>
            <w:shd w:fill="1E3A5F" w:val="clear"/>
            <w:tcMar>
              <w:top w:type="dxa" w:w="200"/>
              <w:left w:type="dxa" w:w="280"/>
              <w:bottom w:type="dxa" w:w="200"/>
              <w:right w:type="dxa" w:w="280"/>
            </w:tcMar>
          </w:tcPr>
          <w:p>
            <w:pPr>
              <w:spacing w:before="80" w:after="80"/>
              <w:jc w:val="left"/>
            </w:pPr>
            <w:r>
              <w:rPr>
                <w:i/>
                <w:iCs/>
                <w:color w:val="FFFFFF"/>
                <w:sz w:val="22"/>
                <w:szCs w:val="22"/>
              </w:rPr>
              <w:t xml:space="preserve">The primary objective of this project is to develop an intelligent, unsupervised fraud detection system that identifies credit card fraud in real-time by learning the behavioral signature of legitimate transactions — flagging any deviation as suspicious, including zero-day fraud patterns never seen before.</w:t>
            </w:r>
          </w:p>
        </w:tc>
      </w:tr>
    </w:tbl>
    <w:p>
      <w:pPr>
        <w:spacing w:before="200"/>
      </w:pPr>
      <w:r>
        <w:t xml:space="preserve"/>
      </w:r>
    </w:p>
    <w:p>
      <w:pPr>
        <w:spacing w:before="280" w:after="120"/>
      </w:pPr>
      <w:r>
        <w:rPr>
          <w:b/>
          <w:bCs/>
          <w:color w:val="2E75B6"/>
          <w:sz w:val="26"/>
          <w:szCs w:val="26"/>
        </w:rPr>
        <w:t xml:space="preserve">Business Goals</w:t>
      </w:r>
    </w:p>
    <w:p>
      <w:pPr>
        <w:pStyle w:val="ListParagraph"/>
        <w:numPr>
          <w:ilvl w:val="0"/>
          <w:numId w:val="2"/>
        </w:numPr>
        <w:spacing w:before="60" w:after="60"/>
      </w:pPr>
      <w:r>
        <w:rPr>
          <w:b/>
          <w:bCs/>
          <w:color w:val="2E75B6"/>
          <w:sz w:val="22"/>
          <w:szCs w:val="22"/>
        </w:rPr>
        <w:t xml:space="preserve">Zero-Day Fraud Protection: </w:t>
      </w:r>
      <w:r>
        <w:rPr>
          <w:color w:val="374151"/>
          <w:sz w:val="22"/>
          <w:szCs w:val="22"/>
        </w:rPr>
        <w:t xml:space="preserve">Detect novel fraud techniques that have never been labeled or seen before, by learning what 'normal' looks like.</w:t>
      </w:r>
    </w:p>
    <w:p>
      <w:pPr>
        <w:pStyle w:val="ListParagraph"/>
        <w:numPr>
          <w:ilvl w:val="0"/>
          <w:numId w:val="2"/>
        </w:numPr>
        <w:spacing w:before="60" w:after="60"/>
      </w:pPr>
      <w:r>
        <w:rPr>
          <w:b/>
          <w:bCs/>
          <w:color w:val="2E75B6"/>
          <w:sz w:val="22"/>
          <w:szCs w:val="22"/>
        </w:rPr>
        <w:t xml:space="preserve">Minimize Financial Losses: </w:t>
      </w:r>
      <w:r>
        <w:rPr>
          <w:color w:val="374151"/>
          <w:sz w:val="22"/>
          <w:szCs w:val="22"/>
        </w:rPr>
        <w:t xml:space="preserve">Prioritize high recall — catching 5 out of 6 fraudulent transactions — to reduce financial exposure significantly.</w:t>
      </w:r>
    </w:p>
    <w:p>
      <w:pPr>
        <w:pStyle w:val="ListParagraph"/>
        <w:numPr>
          <w:ilvl w:val="0"/>
          <w:numId w:val="2"/>
        </w:numPr>
        <w:spacing w:before="60" w:after="60"/>
      </w:pPr>
      <w:r>
        <w:rPr>
          <w:b/>
          <w:bCs/>
          <w:color w:val="2E75B6"/>
          <w:sz w:val="22"/>
          <w:szCs w:val="22"/>
        </w:rPr>
        <w:t xml:space="preserve">Real-Time Decisioning: </w:t>
      </w:r>
      <w:r>
        <w:rPr>
          <w:color w:val="374151"/>
          <w:sz w:val="22"/>
          <w:szCs w:val="22"/>
        </w:rPr>
        <w:t xml:space="preserve">Achieve inference in milliseconds through latent space compression, ensuring seamless customer payment experience.</w:t>
      </w:r>
    </w:p>
    <w:p>
      <w:pPr>
        <w:pStyle w:val="ListParagraph"/>
        <w:numPr>
          <w:ilvl w:val="0"/>
          <w:numId w:val="2"/>
        </w:numPr>
        <w:spacing w:before="60" w:after="60"/>
      </w:pPr>
      <w:r>
        <w:rPr>
          <w:b/>
          <w:bCs/>
          <w:color w:val="2E75B6"/>
          <w:sz w:val="22"/>
          <w:szCs w:val="22"/>
        </w:rPr>
        <w:t xml:space="preserve">Proactive Defense: </w:t>
      </w:r>
      <w:r>
        <w:rPr>
          <w:color w:val="374151"/>
          <w:sz w:val="22"/>
          <w:szCs w:val="22"/>
        </w:rPr>
        <w:t xml:space="preserve">Protect the bank from emerging threats before they become widespread, rather than reacting to known patterns.</w:t>
      </w:r>
    </w:p>
    <w:p>
      <w:pPr>
        <w:spacing w:before="120"/>
      </w:pPr>
      <w:r>
        <w:t xml:space="preserve"/>
      </w:r>
    </w:p>
    <w:p>
      <w:pPr>
        <w:spacing w:before="280" w:after="120"/>
      </w:pPr>
      <w:r>
        <w:rPr>
          <w:b/>
          <w:bCs/>
          <w:color w:val="2E75B6"/>
          <w:sz w:val="26"/>
          <w:szCs w:val="26"/>
        </w:rPr>
        <w:t xml:space="preserve">Technical Goals</w:t>
      </w:r>
    </w:p>
    <w:p>
      <w:pPr>
        <w:pStyle w:val="ListParagraph"/>
        <w:numPr>
          <w:ilvl w:val="0"/>
          <w:numId w:val="2"/>
        </w:numPr>
        <w:spacing w:before="60" w:after="60"/>
      </w:pPr>
      <w:r>
        <w:rPr>
          <w:b/>
          <w:bCs/>
          <w:color w:val="2E75B6"/>
          <w:sz w:val="22"/>
          <w:szCs w:val="22"/>
        </w:rPr>
        <w:t xml:space="preserve">Hybrid Architecture: </w:t>
      </w:r>
      <w:r>
        <w:rPr>
          <w:color w:val="374151"/>
          <w:sz w:val="22"/>
          <w:szCs w:val="22"/>
        </w:rPr>
        <w:t xml:space="preserve">Combine Autoencoder behavioral analysis with Isolation Forest geometric detection for maximum fraud coverage.</w:t>
      </w:r>
    </w:p>
    <w:p>
      <w:pPr>
        <w:pStyle w:val="ListParagraph"/>
        <w:numPr>
          <w:ilvl w:val="0"/>
          <w:numId w:val="2"/>
        </w:numPr>
        <w:spacing w:before="60" w:after="60"/>
      </w:pPr>
      <w:r>
        <w:rPr>
          <w:b/>
          <w:bCs/>
          <w:color w:val="2E75B6"/>
          <w:sz w:val="22"/>
          <w:szCs w:val="22"/>
        </w:rPr>
        <w:t xml:space="preserve">Unsupervised Learning: </w:t>
      </w:r>
      <w:r>
        <w:rPr>
          <w:color w:val="374151"/>
          <w:sz w:val="22"/>
          <w:szCs w:val="22"/>
        </w:rPr>
        <w:t xml:space="preserve">Build a system that does not require labeled fraud data — enabling detection of truly unknown attack vectors.</w:t>
      </w:r>
    </w:p>
    <w:p>
      <w:pPr>
        <w:pStyle w:val="ListParagraph"/>
        <w:numPr>
          <w:ilvl w:val="0"/>
          <w:numId w:val="2"/>
        </w:numPr>
        <w:spacing w:before="60" w:after="60"/>
      </w:pPr>
      <w:r>
        <w:rPr>
          <w:b/>
          <w:bCs/>
          <w:color w:val="2E75B6"/>
          <w:sz w:val="22"/>
          <w:szCs w:val="22"/>
        </w:rPr>
        <w:t xml:space="preserve">MLOps Infrastructure: </w:t>
      </w:r>
      <w:r>
        <w:rPr>
          <w:color w:val="374151"/>
          <w:sz w:val="22"/>
          <w:szCs w:val="22"/>
        </w:rPr>
        <w:t xml:space="preserve">Implement MLflow for model versioning, automated quality gates, and continuous monitoring in production.</w:t>
      </w:r>
    </w:p>
    <w:p>
      <w:pPr>
        <w:spacing w:before="120"/>
      </w:pPr>
      <w:r>
        <w:t xml:space="preserve"/>
      </w:r>
    </w:p>
    <w:p>
      <w:pPr>
        <w:spacing w:before="280" w:after="120"/>
      </w:pPr>
      <w:r>
        <w:rPr>
          <w:b/>
          <w:bCs/>
          <w:color w:val="2E75B6"/>
          <w:sz w:val="26"/>
          <w:szCs w:val="26"/>
        </w:rPr>
        <w:t xml:space="preserve">Expected Outcomes</w:t>
      </w:r>
    </w:p>
    <w:p>
      <w:pPr>
        <w:pStyle w:val="ListParagraph"/>
        <w:numPr>
          <w:ilvl w:val="0"/>
          <w:numId w:val="2"/>
        </w:numPr>
        <w:spacing w:before="60" w:after="60"/>
      </w:pPr>
      <w:r>
        <w:rPr>
          <w:color w:val="374151"/>
          <w:sz w:val="22"/>
          <w:szCs w:val="22"/>
        </w:rPr>
        <w:t xml:space="preserve">Detect fraudulent transactions with 83.33% recall on an unseen test set.</w:t>
      </w:r>
    </w:p>
    <w:p>
      <w:pPr>
        <w:pStyle w:val="ListParagraph"/>
        <w:numPr>
          <w:ilvl w:val="0"/>
          <w:numId w:val="2"/>
        </w:numPr>
        <w:spacing w:before="60" w:after="60"/>
      </w:pPr>
      <w:r>
        <w:rPr>
          <w:color w:val="374151"/>
          <w:sz w:val="22"/>
          <w:szCs w:val="22"/>
        </w:rPr>
        <w:t xml:space="preserve">Achieve real-time inference with a compressed 10-dimensional latent space.</w:t>
      </w:r>
    </w:p>
    <w:p>
      <w:pPr>
        <w:pStyle w:val="ListParagraph"/>
        <w:numPr>
          <w:ilvl w:val="0"/>
          <w:numId w:val="2"/>
        </w:numPr>
        <w:spacing w:before="60" w:after="60"/>
      </w:pPr>
      <w:r>
        <w:rPr>
          <w:color w:val="374151"/>
          <w:sz w:val="22"/>
          <w:szCs w:val="22"/>
        </w:rPr>
        <w:t xml:space="preserve">Deploy a production-ready model registry with automated quality gates.</w:t>
      </w:r>
    </w:p>
    <w:p>
      <w:pPr>
        <w:pStyle w:val="ListParagraph"/>
        <w:numPr>
          <w:ilvl w:val="0"/>
          <w:numId w:val="2"/>
        </w:numPr>
        <w:spacing w:before="60" w:after="60"/>
      </w:pPr>
      <w:r>
        <w:rPr>
          <w:color w:val="374151"/>
          <w:sz w:val="22"/>
          <w:szCs w:val="22"/>
        </w:rPr>
        <w:t xml:space="preserve">Provide strategic business recommendations for continuous system improvement.</w:t>
      </w:r>
    </w:p>
    <w:p>
      <w:r>
        <w:br/>
      </w:r>
    </w:p>
    <w:p>
      <w:pPr>
        <w:pBdr>
          <w:left w:val="single" w:color="2E75B6" w:sz="24" w:space="4"/>
        </w:pBdr>
        <w:shd w:fill="F5F7FA" w:val="clear"/>
        <w:spacing w:before="360" w:after="160"/>
        <w:ind w:left="180"/>
      </w:pPr>
      <w:r>
        <w:rPr>
          <w:sz w:val="36"/>
          <w:szCs w:val="36"/>
        </w:rPr>
        <w:t xml:space="preserve">📋  </w:t>
      </w:r>
      <w:r>
        <w:rPr>
          <w:b/>
          <w:bCs/>
          <w:color w:val="1E3A5F"/>
          <w:sz w:val="36"/>
          <w:szCs w:val="36"/>
        </w:rPr>
        <w:t xml:space="preserve">Table of Contents</w:t>
      </w:r>
    </w:p>
    <w:p>
      <w:pPr>
        <w:pBdr>
          <w:bottom w:val="single" w:color="2E75B6" w:sz="6" w:space="1"/>
        </w:pBdr>
        <w:spacing w:before="0" w:after="120"/>
      </w:pPr>
    </w:p>
    <w:p>
      <w:pPr>
        <w:spacing w:before="120"/>
      </w:pPr>
      <w:r>
        <w:t xml:space="preserve"/>
      </w:r>
    </w:p>
    <w:p>
      <w:pPr>
        <w:spacing w:before="80" w:after="80"/>
      </w:pPr>
      <w:r>
        <w:rPr>
          <w:b/>
          <w:bCs/>
          <w:color w:val="2E75B6"/>
          <w:sz w:val="24"/>
          <w:szCs w:val="24"/>
        </w:rPr>
        <w:t xml:space="preserve">01  </w:t>
      </w:r>
      <w:r>
        <w:rPr>
          <w:color w:val="374151"/>
          <w:sz w:val="22"/>
          <w:szCs w:val="22"/>
        </w:rPr>
        <w:t xml:space="preserve">Executive Summary</w:t>
      </w:r>
    </w:p>
    <w:p>
      <w:pPr>
        <w:spacing w:before="80" w:after="80"/>
      </w:pPr>
      <w:r>
        <w:rPr>
          <w:b/>
          <w:bCs/>
          <w:color w:val="2E75B6"/>
          <w:sz w:val="24"/>
          <w:szCs w:val="24"/>
        </w:rPr>
        <w:t xml:space="preserve">02  </w:t>
      </w:r>
      <w:r>
        <w:rPr>
          <w:color w:val="374151"/>
          <w:sz w:val="22"/>
          <w:szCs w:val="22"/>
        </w:rPr>
        <w:t xml:space="preserve">Technical Architecture</w:t>
      </w:r>
    </w:p>
    <w:p>
      <w:pPr>
        <w:spacing w:before="80" w:after="80"/>
      </w:pPr>
      <w:r>
        <w:rPr>
          <w:b/>
          <w:bCs/>
          <w:color w:val="2E75B6"/>
          <w:sz w:val="24"/>
          <w:szCs w:val="24"/>
        </w:rPr>
        <w:t xml:space="preserve">03  </w:t>
      </w:r>
      <w:r>
        <w:rPr>
          <w:color w:val="374151"/>
          <w:sz w:val="22"/>
          <w:szCs w:val="22"/>
        </w:rPr>
        <w:t xml:space="preserve">Data Preparation</w:t>
      </w:r>
    </w:p>
    <w:p>
      <w:pPr>
        <w:spacing w:before="80" w:after="80"/>
      </w:pPr>
      <w:r>
        <w:rPr>
          <w:b/>
          <w:bCs/>
          <w:color w:val="2E75B6"/>
          <w:sz w:val="24"/>
          <w:szCs w:val="24"/>
        </w:rPr>
        <w:t xml:space="preserve">04  </w:t>
      </w:r>
      <w:r>
        <w:rPr>
          <w:color w:val="374151"/>
          <w:sz w:val="22"/>
          <w:szCs w:val="22"/>
        </w:rPr>
        <w:t xml:space="preserve">Exploratory Data Analysis</w:t>
      </w:r>
    </w:p>
    <w:p>
      <w:pPr>
        <w:spacing w:before="80" w:after="80"/>
      </w:pPr>
      <w:r>
        <w:rPr>
          <w:b/>
          <w:bCs/>
          <w:color w:val="2E75B6"/>
          <w:sz w:val="24"/>
          <w:szCs w:val="24"/>
        </w:rPr>
        <w:t xml:space="preserve">05  </w:t>
      </w:r>
      <w:r>
        <w:rPr>
          <w:color w:val="374151"/>
          <w:sz w:val="22"/>
          <w:szCs w:val="22"/>
        </w:rPr>
        <w:t xml:space="preserve">Model Development</w:t>
      </w:r>
    </w:p>
    <w:p>
      <w:pPr>
        <w:spacing w:before="80" w:after="80"/>
      </w:pPr>
      <w:r>
        <w:rPr>
          <w:b/>
          <w:bCs/>
          <w:color w:val="2E75B6"/>
          <w:sz w:val="24"/>
          <w:szCs w:val="24"/>
        </w:rPr>
        <w:t xml:space="preserve">06  </w:t>
      </w:r>
      <w:r>
        <w:rPr>
          <w:color w:val="374151"/>
          <w:sz w:val="22"/>
          <w:szCs w:val="22"/>
        </w:rPr>
        <w:t xml:space="preserve">MLOps &amp; Model Governance</w:t>
      </w:r>
    </w:p>
    <w:p>
      <w:pPr>
        <w:spacing w:before="80" w:after="80"/>
      </w:pPr>
      <w:r>
        <w:rPr>
          <w:b/>
          <w:bCs/>
          <w:color w:val="2E75B6"/>
          <w:sz w:val="24"/>
          <w:szCs w:val="24"/>
        </w:rPr>
        <w:t xml:space="preserve">07  </w:t>
      </w:r>
      <w:r>
        <w:rPr>
          <w:color w:val="374151"/>
          <w:sz w:val="22"/>
          <w:szCs w:val="22"/>
        </w:rPr>
        <w:t xml:space="preserve">Results &amp; Performance Metrics</w:t>
      </w:r>
    </w:p>
    <w:p>
      <w:pPr>
        <w:spacing w:before="80" w:after="80"/>
      </w:pPr>
      <w:r>
        <w:rPr>
          <w:b/>
          <w:bCs/>
          <w:color w:val="2E75B6"/>
          <w:sz w:val="24"/>
          <w:szCs w:val="24"/>
        </w:rPr>
        <w:t xml:space="preserve">08  </w:t>
      </w:r>
      <w:r>
        <w:rPr>
          <w:color w:val="374151"/>
          <w:sz w:val="22"/>
          <w:szCs w:val="22"/>
        </w:rPr>
        <w:t xml:space="preserve">Hyperparameters Configuration</w:t>
      </w:r>
    </w:p>
    <w:p>
      <w:pPr>
        <w:spacing w:before="80" w:after="80"/>
      </w:pPr>
      <w:r>
        <w:rPr>
          <w:b/>
          <w:bCs/>
          <w:color w:val="2E75B6"/>
          <w:sz w:val="24"/>
          <w:szCs w:val="24"/>
        </w:rPr>
        <w:t xml:space="preserve">09  </w:t>
      </w:r>
      <w:r>
        <w:rPr>
          <w:color w:val="374151"/>
          <w:sz w:val="22"/>
          <w:szCs w:val="22"/>
        </w:rPr>
        <w:t xml:space="preserve">Business Recommendations</w:t>
      </w:r>
    </w:p>
    <w:p>
      <w:pPr>
        <w:spacing w:before="80" w:after="80"/>
      </w:pPr>
      <w:r>
        <w:rPr>
          <w:b/>
          <w:bCs/>
          <w:color w:val="2E75B6"/>
          <w:sz w:val="24"/>
          <w:szCs w:val="24"/>
        </w:rPr>
        <w:t xml:space="preserve">10  </w:t>
      </w:r>
      <w:r>
        <w:rPr>
          <w:color w:val="374151"/>
          <w:sz w:val="22"/>
          <w:szCs w:val="22"/>
        </w:rPr>
        <w:t xml:space="preserve">Key Takeaways &amp; Conclusion</w:t>
      </w:r>
    </w:p>
    <w:p>
      <w:r>
        <w:br/>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Borders>
              <w:top w:val="none"/>
              <w:left w:val="none"/>
              <w:bottom w:val="none"/>
              <w:right w:val="none"/>
            </w:tcBorders>
            <w:shd w:fill="1E3A5F" w:val="clear"/>
            <w:tcMar>
              <w:top w:type="dxa" w:w="160"/>
              <w:left w:type="dxa" w:w="280"/>
              <w:bottom w:type="dxa" w:w="160"/>
              <w:right w:type="dxa" w:w="280"/>
            </w:tcMar>
          </w:tcPr>
          <w:p>
            <w:pPr>
              <w:jc w:val="left"/>
            </w:pPr>
            <w:r>
              <w:rPr>
                <w:sz w:val="28"/>
                <w:szCs w:val="28"/>
              </w:rPr>
              <w:t xml:space="preserve">🎯  </w:t>
            </w:r>
            <w:r>
              <w:rPr>
                <w:color w:val="B3D4F0"/>
                <w:sz w:val="28"/>
                <w:szCs w:val="28"/>
              </w:rPr>
              <w:t xml:space="preserve">Module 01  —  </w:t>
            </w:r>
            <w:r>
              <w:rPr>
                <w:b/>
                <w:bCs/>
                <w:color w:val="FFFFFF"/>
                <w:sz w:val="28"/>
                <w:szCs w:val="28"/>
              </w:rPr>
              <w:t xml:space="preserve">Executive Summary</w:t>
            </w:r>
          </w:p>
        </w:tc>
      </w:tr>
    </w:tbl>
    <w:p>
      <w:pPr>
        <w:spacing w:before="200"/>
      </w:pPr>
      <w:r>
        <w:t xml:space="preserve"/>
      </w:r>
    </w:p>
    <w:p>
      <w:pPr>
        <w:spacing w:before="80" w:after="80"/>
      </w:pPr>
      <w:r>
        <w:rPr>
          <w:color w:val="374151"/>
          <w:sz w:val="22"/>
          <w:szCs w:val="22"/>
        </w:rPr>
        <w:t xml:space="preserve">This project implements a state-of-the-art hybrid fraud detection system combining Autoencoder (AE) neural networks with Isolation Forest (ISO) algorithms to detect credit card fraud in real-time. Operating in an unsupervised learning paradigm, the system identifies zero-day fraud patterns that have never been seen before.</w:t>
      </w:r>
    </w:p>
    <w:p>
      <w:pPr>
        <w:spacing w:before="120"/>
      </w:pPr>
      <w:r>
        <w:t xml:space="preserve"/>
      </w:r>
    </w:p>
    <w:p>
      <w:pPr>
        <w:spacing w:before="280" w:after="120"/>
      </w:pPr>
      <w:r>
        <w:rPr>
          <w:b/>
          <w:bCs/>
          <w:color w:val="2E75B6"/>
          <w:sz w:val="26"/>
          <w:szCs w:val="26"/>
        </w:rPr>
        <w:t xml:space="preserve">Key Achievements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Borders>
              <w:top w:val="single" w:color="2E75B6" w:sz="4"/>
              <w:left w:val="single" w:color="2E75B6" w:sz="4"/>
              <w:bottom w:val="single" w:color="2E75B6" w:sz="4"/>
              <w:right w:val="single" w:color="2E75B6" w:sz="4"/>
            </w:tcBorders>
            <w:shd w:fill="EBF3FB" w:val="clear"/>
            <w:tcMar>
              <w:top w:type="dxa" w:w="180"/>
              <w:left w:type="dxa" w:w="280"/>
              <w:bottom w:type="dxa" w:w="180"/>
              <w:right w:type="dxa" w:w="280"/>
            </w:tcMar>
          </w:tcPr>
          <w:p>
            <w:pPr>
              <w:spacing w:before="60" w:after="60"/>
            </w:pPr>
            <w:r>
              <w:rPr>
                <w:sz w:val="22"/>
                <w:szCs w:val="22"/>
              </w:rPr>
              <w:t xml:space="preserve">✅  </w:t>
            </w:r>
            <w:r>
              <w:rPr>
                <w:b/>
                <w:bCs/>
                <w:color w:val="1E3A5F"/>
                <w:sz w:val="22"/>
                <w:szCs w:val="22"/>
              </w:rPr>
              <w:t xml:space="preserve">83.33% Recall </w:t>
            </w:r>
            <w:r>
              <w:rPr>
                <w:color w:val="374151"/>
                <w:sz w:val="22"/>
                <w:szCs w:val="22"/>
              </w:rPr>
              <w:t xml:space="preserve">— catching 5 out of 6 fraudulent transactions</w:t>
            </w:r>
          </w:p>
          <w:p>
            <w:pPr>
              <w:spacing w:before="60" w:after="60"/>
            </w:pPr>
            <w:r>
              <w:rPr>
                <w:sz w:val="22"/>
                <w:szCs w:val="22"/>
              </w:rPr>
              <w:t xml:space="preserve">✅  </w:t>
            </w:r>
            <w:r>
              <w:rPr>
                <w:b/>
                <w:bCs/>
                <w:color w:val="1E3A5F"/>
                <w:sz w:val="22"/>
                <w:szCs w:val="22"/>
              </w:rPr>
              <w:t xml:space="preserve">Real-Time Inference </w:t>
            </w:r>
            <w:r>
              <w:rPr>
                <w:color w:val="374151"/>
                <w:sz w:val="22"/>
                <w:szCs w:val="22"/>
              </w:rPr>
              <w:t xml:space="preserve">— optimized 10-dimensional latent space representation</w:t>
            </w:r>
          </w:p>
          <w:p>
            <w:pPr>
              <w:spacing w:before="60" w:after="60"/>
            </w:pPr>
            <w:r>
              <w:rPr>
                <w:sz w:val="22"/>
                <w:szCs w:val="22"/>
              </w:rPr>
              <w:t xml:space="preserve">✅  </w:t>
            </w:r>
            <w:r>
              <w:rPr>
                <w:b/>
                <w:bCs/>
                <w:color w:val="1E3A5F"/>
                <w:sz w:val="22"/>
                <w:szCs w:val="22"/>
              </w:rPr>
              <w:t xml:space="preserve">MLOps-Ready </w:t>
            </w:r>
            <w:r>
              <w:rPr>
                <w:color w:val="374151"/>
                <w:sz w:val="22"/>
                <w:szCs w:val="22"/>
              </w:rPr>
              <w:t xml:space="preserve">— automated model versioning and quality gates</w:t>
            </w:r>
          </w:p>
          <w:p>
            <w:pPr>
              <w:spacing w:before="60" w:after="60"/>
            </w:pPr>
            <w:r>
              <w:rPr>
                <w:sz w:val="22"/>
                <w:szCs w:val="22"/>
              </w:rPr>
              <w:t xml:space="preserve">✅  </w:t>
            </w:r>
            <w:r>
              <w:rPr>
                <w:b/>
                <w:bCs/>
                <w:color w:val="1E3A5F"/>
                <w:sz w:val="22"/>
                <w:szCs w:val="22"/>
              </w:rPr>
              <w:t xml:space="preserve">Proactive Security </w:t>
            </w:r>
            <w:r>
              <w:rPr>
                <w:color w:val="374151"/>
                <w:sz w:val="22"/>
                <w:szCs w:val="22"/>
              </w:rPr>
              <w:t xml:space="preserve">— detects unknown fraud without prior training on fraud labels</w:t>
            </w:r>
          </w:p>
        </w:tc>
      </w:tr>
    </w:tbl>
    <w:p>
      <w:pPr>
        <w:spacing w:before="200"/>
      </w:pPr>
      <w:r>
        <w:t xml:space="preserve"/>
      </w:r>
    </w:p>
    <w:p>
      <w:pPr>
        <w:spacing w:before="280" w:after="120"/>
      </w:pPr>
      <w:r>
        <w:rPr>
          <w:b/>
          <w:bCs/>
          <w:color w:val="2E75B6"/>
          <w:sz w:val="26"/>
          <w:szCs w:val="26"/>
        </w:rPr>
        <w:t xml:space="preserve">Summary Metrics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400"/>
        <w:gridCol w:w="4400"/>
      </w:tblGrid>
      <w:tr>
        <w:tc>
          <w:tcPr>
            <w:tcW w:type="dxa" w:w="44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sz w:val="22"/>
                <w:szCs w:val="22"/>
              </w:rPr>
              <w:t xml:space="preserve">Metric</w:t>
            </w:r>
          </w:p>
        </w:tc>
        <w:tc>
          <w:tcPr>
            <w:tcW w:type="dxa" w:w="44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sz w:val="22"/>
                <w:szCs w:val="22"/>
              </w:rPr>
              <w:t xml:space="preserve">Value</w:t>
            </w:r>
          </w:p>
        </w:tc>
      </w:tr>
      <w:tr>
        <w:tc>
          <w:tcPr>
            <w:tcW w:type="dxa" w:w="4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Total Transactions Analyzed</w:t>
            </w:r>
          </w:p>
        </w:tc>
        <w:tc>
          <w:tcPr>
            <w:tcW w:type="dxa" w:w="4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284,807</w:t>
            </w:r>
          </w:p>
        </w:tc>
      </w:tr>
      <w:tr>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Duplicate Records Removed</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1,081</w:t>
            </w:r>
          </w:p>
        </w:tc>
      </w:tr>
      <w:tr>
        <w:tc>
          <w:tcPr>
            <w:tcW w:type="dxa" w:w="4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Model Architecture</w:t>
            </w:r>
          </w:p>
        </w:tc>
        <w:tc>
          <w:tcPr>
            <w:tcW w:type="dxa" w:w="4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Autoencoder + Isolation Forest (Hybrid)</w:t>
            </w:r>
          </w:p>
        </w:tc>
      </w:tr>
      <w:tr>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Latent Dimension</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10 (compressed from 30 features)</w:t>
            </w:r>
          </w:p>
        </w:tc>
      </w:tr>
      <w:tr>
        <w:tc>
          <w:tcPr>
            <w:tcW w:type="dxa" w:w="4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Recall (Fraud)</w:t>
            </w:r>
          </w:p>
        </w:tc>
        <w:tc>
          <w:tcPr>
            <w:tcW w:type="dxa" w:w="4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83.33% — catches 5 out of 6 fraud cases</w:t>
            </w:r>
          </w:p>
        </w:tc>
      </w:tr>
      <w:tr>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Precision (Fraud)</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2.03% (acceptable given extreme class imbalance)</w:t>
            </w:r>
          </w:p>
        </w:tc>
      </w:tr>
      <w:tr>
        <w:tc>
          <w:tcPr>
            <w:tcW w:type="dxa" w:w="4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Overall Accuracy</w:t>
            </w:r>
          </w:p>
        </w:tc>
        <w:tc>
          <w:tcPr>
            <w:tcW w:type="dxa" w:w="4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93.59%</w:t>
            </w:r>
          </w:p>
        </w:tc>
      </w:tr>
      <w:tr>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ISO Estimators</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100 trees</w:t>
            </w:r>
          </w:p>
        </w:tc>
      </w:tr>
      <w:tr>
        <w:tc>
          <w:tcPr>
            <w:tcW w:type="dxa" w:w="4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MSE Threshold (AE)</w:t>
            </w:r>
          </w:p>
        </w:tc>
        <w:tc>
          <w:tcPr>
            <w:tcW w:type="dxa" w:w="4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95th percentile — 0.3446</w:t>
            </w:r>
          </w:p>
        </w:tc>
      </w:tr>
      <w:tr>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ISO Threshold</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3rd percentile — -0.0455</w:t>
            </w:r>
          </w:p>
        </w:tc>
      </w:tr>
    </w:tbl>
    <w:p>
      <w:r>
        <w:br/>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Borders>
              <w:top w:val="none"/>
              <w:left w:val="none"/>
              <w:bottom w:val="none"/>
              <w:right w:val="none"/>
            </w:tcBorders>
            <w:shd w:fill="1E3A5F" w:val="clear"/>
            <w:tcMar>
              <w:top w:type="dxa" w:w="160"/>
              <w:left w:type="dxa" w:w="280"/>
              <w:bottom w:type="dxa" w:w="160"/>
              <w:right w:type="dxa" w:w="280"/>
            </w:tcMar>
          </w:tcPr>
          <w:p>
            <w:pPr>
              <w:jc w:val="left"/>
            </w:pPr>
            <w:r>
              <w:rPr>
                <w:sz w:val="28"/>
                <w:szCs w:val="28"/>
              </w:rPr>
              <w:t xml:space="preserve">🏗️  </w:t>
            </w:r>
            <w:r>
              <w:rPr>
                <w:color w:val="B3D4F0"/>
                <w:sz w:val="28"/>
                <w:szCs w:val="28"/>
              </w:rPr>
              <w:t xml:space="preserve">Module 02  —  </w:t>
            </w:r>
            <w:r>
              <w:rPr>
                <w:b/>
                <w:bCs/>
                <w:color w:val="FFFFFF"/>
                <w:sz w:val="28"/>
                <w:szCs w:val="28"/>
              </w:rPr>
              <w:t xml:space="preserve">Technical Architecture</w:t>
            </w:r>
          </w:p>
        </w:tc>
      </w:tr>
    </w:tbl>
    <w:p>
      <w:pPr>
        <w:spacing w:before="200"/>
      </w:pPr>
      <w:r>
        <w:t xml:space="preserve"/>
      </w:r>
    </w:p>
    <w:p>
      <w:pPr>
        <w:spacing w:before="280" w:after="120"/>
      </w:pPr>
      <w:r>
        <w:rPr>
          <w:b/>
          <w:bCs/>
          <w:color w:val="2E75B6"/>
          <w:sz w:val="26"/>
          <w:szCs w:val="26"/>
        </w:rPr>
        <w:t xml:space="preserve">Why Hybrid? (Autoencoder + Isolation Forest)</w:t>
      </w:r>
    </w:p>
    <w:p>
      <w:pPr>
        <w:spacing w:before="80" w:after="80"/>
      </w:pPr>
      <w:r>
        <w:rPr>
          <w:color w:val="374151"/>
          <w:sz w:val="22"/>
          <w:szCs w:val="22"/>
        </w:rPr>
        <w:t xml:space="preserve">This is the core innovation of the project. Instead of using a single algorithm, we implemented a two-stage filtering system where each model provides a distinct, complementary perspective on what constitutes a fraudulent transaction.</w:t>
      </w:r>
    </w:p>
    <w:p>
      <w:pPr>
        <w:spacing w:before="160"/>
      </w:pPr>
      <w:r>
        <w:t xml:space="preserve"/>
      </w:r>
    </w:p>
    <w:p>
      <w:pPr>
        <w:spacing w:before="200" w:after="100"/>
      </w:pPr>
      <w:r>
        <w:rPr>
          <w:b/>
          <w:bCs/>
          <w:color w:val="1E3A5F"/>
          <w:sz w:val="24"/>
          <w:szCs w:val="24"/>
        </w:rPr>
        <w:t xml:space="preserve">🧠 Role of the Autoencoder — Behavioral Perspective</w:t>
      </w:r>
    </w:p>
    <w:p>
      <w:pPr>
        <w:spacing w:before="80" w:after="80"/>
      </w:pPr>
      <w:r>
        <w:rPr>
          <w:color w:val="374151"/>
          <w:sz w:val="22"/>
          <w:szCs w:val="22"/>
        </w:rPr>
        <w:t xml:space="preserve">The Autoencoder acts as a behavioral analyst that learns the shape and structure of legitimate transactions. It compresses 30 features into a 10-dimensional latent space, then reconstructs them. A high reconstruction error (MSE) signals a transaction the model has never encountered — a suspicious composition.</w:t>
      </w:r>
    </w:p>
    <w:p>
      <w:pPr>
        <w:spacing w:before="80"/>
      </w:pPr>
      <w:r>
        <w:t xml:space="preserve"/>
      </w:r>
    </w:p>
    <w:p>
      <w:pPr>
        <w:spacing w:before="80" w:after="80"/>
      </w:pPr>
      <w:r>
        <w:rPr>
          <w:color w:val="374151"/>
          <w:sz w:val="22"/>
          <w:szCs w:val="22"/>
        </w:rPr>
        <w:t xml:space="preserve">Architecture: Input (30) → Encoder: 128 → 64 → 32 → 16 → Latent (10) → Decoder: 16 → 32 → 64 → 128 → Output (30)</w:t>
      </w:r>
    </w:p>
    <w:p>
      <w:pPr>
        <w:spacing w:before="160"/>
      </w:pPr>
      <w:r>
        <w:t xml:space="preserve"/>
      </w:r>
    </w:p>
    <w:p>
      <w:pPr>
        <w:spacing w:before="200" w:after="100"/>
      </w:pPr>
      <w:r>
        <w:rPr>
          <w:b/>
          <w:bCs/>
          <w:color w:val="1E3A5F"/>
          <w:sz w:val="24"/>
          <w:szCs w:val="24"/>
        </w:rPr>
        <w:t xml:space="preserve">🌲 Role of the Isolation Forest — Geometric Perspective</w:t>
      </w:r>
    </w:p>
    <w:p>
      <w:pPr>
        <w:spacing w:before="80" w:after="80"/>
      </w:pPr>
      <w:r>
        <w:rPr>
          <w:color w:val="374151"/>
          <w:sz w:val="22"/>
          <w:szCs w:val="22"/>
        </w:rPr>
        <w:t xml:space="preserve">After the AE compresses the data, the Isolation Forest acts as a geometric hunter that isolates outliers. It builds random decision trees and measures how many splits are needed to isolate each point. Fraudulent transactions sit in sparse regions and are isolated quickly with fewer splits.</w:t>
      </w:r>
    </w:p>
    <w:p>
      <w:pPr>
        <w:spacing w:before="160"/>
      </w:pPr>
      <w:r>
        <w:t xml:space="preserve"/>
      </w:r>
    </w:p>
    <w:p>
      <w:pPr>
        <w:spacing w:before="280" w:after="120"/>
      </w:pPr>
      <w:r>
        <w:rPr>
          <w:b/>
          <w:bCs/>
          <w:color w:val="2E75B6"/>
          <w:sz w:val="26"/>
          <w:szCs w:val="26"/>
        </w:rPr>
        <w:t xml:space="preserve">The Power of Hybrid Logic</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Borders>
              <w:top w:val="single" w:color="2E75B6" w:sz="4"/>
              <w:left w:val="single" w:color="2E75B6" w:sz="4"/>
              <w:bottom w:val="single" w:color="2E75B6" w:sz="4"/>
              <w:right w:val="single" w:color="2E75B6" w:sz="4"/>
            </w:tcBorders>
            <w:shd w:fill="EBF3FB" w:val="clear"/>
            <w:tcMar>
              <w:top w:type="dxa" w:w="180"/>
              <w:left w:type="dxa" w:w="280"/>
              <w:bottom w:type="dxa" w:w="180"/>
              <w:right w:type="dxa" w:w="280"/>
            </w:tcMar>
          </w:tcPr>
          <w:p>
            <w:pPr>
              <w:spacing w:before="60" w:after="60"/>
            </w:pPr>
            <w:r>
              <w:rPr>
                <w:b/>
                <w:bCs/>
                <w:color w:val="1E3A5F"/>
                <w:sz w:val="22"/>
                <w:szCs w:val="22"/>
              </w:rPr>
              <w:t xml:space="preserve">Decision Rule: </w:t>
            </w:r>
            <w:r>
              <w:rPr>
                <w:color w:val="374151"/>
                <w:sz w:val="22"/>
                <w:szCs w:val="22"/>
              </w:rPr>
              <w:t xml:space="preserve">If (AE flags it) OR (ISO flags it) → Mark as FRAUD</w:t>
            </w:r>
          </w:p>
          <w:p>
            <w:pPr>
              <w:spacing w:before="60" w:after="60"/>
            </w:pPr>
            <w:r>
              <w:rPr>
                <w:color w:val="374151"/>
                <w:sz w:val="22"/>
                <w:szCs w:val="22"/>
              </w:rPr>
              <w:t xml:space="preserve"/>
            </w:r>
          </w:p>
          <w:p>
            <w:pPr>
              <w:spacing w:before="60" w:after="60"/>
            </w:pPr>
            <w:r>
              <w:rPr>
                <w:sz w:val="22"/>
                <w:szCs w:val="22"/>
              </w:rPr>
              <w:t xml:space="preserve">🔒  </w:t>
            </w:r>
            <w:r>
              <w:rPr>
                <w:color w:val="374151"/>
                <w:sz w:val="22"/>
                <w:szCs w:val="22"/>
              </w:rPr>
              <w:t xml:space="preserve">Double Coverage: if a fraudster evades behavioral check, they still face the geometric check.</w:t>
            </w:r>
          </w:p>
          <w:p>
            <w:pPr>
              <w:spacing w:before="60" w:after="60"/>
            </w:pPr>
            <w:r>
              <w:rPr>
                <w:sz w:val="22"/>
                <w:szCs w:val="22"/>
              </w:rPr>
              <w:t xml:space="preserve">🛡️  </w:t>
            </w:r>
            <w:r>
              <w:rPr>
                <w:color w:val="374151"/>
                <w:sz w:val="22"/>
                <w:szCs w:val="22"/>
              </w:rPr>
              <w:t xml:space="preserve">Safety First: in fraud detection, a false alarm is far less costly than a missed fraud case.</w:t>
            </w:r>
          </w:p>
          <w:p>
            <w:pPr>
              <w:spacing w:before="60" w:after="60"/>
            </w:pPr>
            <w:r>
              <w:rPr>
                <w:sz w:val="22"/>
                <w:szCs w:val="22"/>
              </w:rPr>
              <w:t xml:space="preserve">⚡  </w:t>
            </w:r>
            <w:r>
              <w:rPr>
                <w:color w:val="374151"/>
                <w:sz w:val="22"/>
                <w:szCs w:val="22"/>
              </w:rPr>
              <w:t xml:space="preserve">Proactive Defense: the system anticipates deviations from normalcy, not just known patterns.</w:t>
            </w:r>
          </w:p>
        </w:tc>
      </w:tr>
    </w:tbl>
    <w:p>
      <w:r>
        <w:br/>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Borders>
              <w:top w:val="none"/>
              <w:left w:val="none"/>
              <w:bottom w:val="none"/>
              <w:right w:val="none"/>
            </w:tcBorders>
            <w:shd w:fill="1E3A5F" w:val="clear"/>
            <w:tcMar>
              <w:top w:type="dxa" w:w="160"/>
              <w:left w:type="dxa" w:w="280"/>
              <w:bottom w:type="dxa" w:w="160"/>
              <w:right w:type="dxa" w:w="280"/>
            </w:tcMar>
          </w:tcPr>
          <w:p>
            <w:pPr>
              <w:jc w:val="left"/>
            </w:pPr>
            <w:r>
              <w:rPr>
                <w:sz w:val="28"/>
                <w:szCs w:val="28"/>
              </w:rPr>
              <w:t xml:space="preserve">🗂️  </w:t>
            </w:r>
            <w:r>
              <w:rPr>
                <w:color w:val="B3D4F0"/>
                <w:sz w:val="28"/>
                <w:szCs w:val="28"/>
              </w:rPr>
              <w:t xml:space="preserve">Module 03  —  </w:t>
            </w:r>
            <w:r>
              <w:rPr>
                <w:b/>
                <w:bCs/>
                <w:color w:val="FFFFFF"/>
                <w:sz w:val="28"/>
                <w:szCs w:val="28"/>
              </w:rPr>
              <w:t xml:space="preserve">Data Preparation</w:t>
            </w:r>
          </w:p>
        </w:tc>
      </w:tr>
    </w:tbl>
    <w:p>
      <w:pPr>
        <w:spacing w:before="200"/>
      </w:pPr>
      <w:r>
        <w:t xml:space="preserve"/>
      </w:r>
    </w:p>
    <w:p>
      <w:pPr>
        <w:spacing w:before="280" w:after="120"/>
      </w:pPr>
      <w:r>
        <w:rPr>
          <w:b/>
          <w:bCs/>
          <w:color w:val="2E75B6"/>
          <w:sz w:val="26"/>
          <w:szCs w:val="26"/>
        </w:rPr>
        <w:t xml:space="preserve">Dataset Overview</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000"/>
        <w:gridCol w:w="4800"/>
      </w:tblGrid>
      <w:tr>
        <w:tc>
          <w:tcPr>
            <w:tcW w:type="dxa" w:w="4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sz w:val="22"/>
                <w:szCs w:val="22"/>
              </w:rPr>
              <w:t xml:space="preserve">Attribute</w:t>
            </w:r>
          </w:p>
        </w:tc>
        <w:tc>
          <w:tcPr>
            <w:tcW w:type="dxa" w:w="4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sz w:val="22"/>
                <w:szCs w:val="22"/>
              </w:rPr>
              <w:t xml:space="preserve">Detail</w:t>
            </w:r>
          </w:p>
        </w:tc>
      </w:tr>
      <w:tr>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Source</w:t>
            </w:r>
          </w:p>
        </w:tc>
        <w:tc>
          <w:tcPr>
            <w:tcW w:type="dxa" w:w="4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Credit card transaction data</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Original Size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284,807 transactions</w:t>
            </w:r>
          </w:p>
        </w:tc>
      </w:tr>
      <w:tr>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Features</w:t>
            </w:r>
          </w:p>
        </w:tc>
        <w:tc>
          <w:tcPr>
            <w:tcW w:type="dxa" w:w="4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30 (28 PCA-transformed + Time + Amount)</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Target</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Binary classification — Fraud / Legitimate</w:t>
            </w:r>
          </w:p>
        </w:tc>
      </w:tr>
      <w:tr>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Duplicates Removed</w:t>
            </w:r>
          </w:p>
        </w:tc>
        <w:tc>
          <w:tcPr>
            <w:tcW w:type="dxa" w:w="4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1,081 records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Amount Skewness (Before)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16.9 (extremely right-skewed)</w:t>
            </w:r>
          </w:p>
        </w:tc>
      </w:tr>
      <w:tr>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Amount Skewness (After)</w:t>
            </w:r>
          </w:p>
        </w:tc>
        <w:tc>
          <w:tcPr>
            <w:tcW w:type="dxa" w:w="4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0.16 (nearly normal — log1p transformation applied)</w:t>
            </w:r>
          </w:p>
        </w:tc>
      </w:tr>
    </w:tbl>
    <w:p>
      <w:pPr>
        <w:spacing w:before="200"/>
      </w:pPr>
      <w:r>
        <w:t xml:space="preserve"/>
      </w:r>
    </w:p>
    <w:p>
      <w:pPr>
        <w:spacing w:before="280" w:after="120"/>
      </w:pPr>
      <w:r>
        <w:rPr>
          <w:b/>
          <w:bCs/>
          <w:color w:val="2E75B6"/>
          <w:sz w:val="26"/>
          <w:szCs w:val="26"/>
        </w:rPr>
        <w:t xml:space="preserve">Data Cleaning Process</w:t>
      </w:r>
    </w:p>
    <w:p>
      <w:pPr>
        <w:spacing w:before="200" w:after="100"/>
      </w:pPr>
      <w:r>
        <w:rPr>
          <w:b/>
          <w:bCs/>
          <w:color w:val="1E3A5F"/>
          <w:sz w:val="24"/>
          <w:szCs w:val="24"/>
        </w:rPr>
        <w:t xml:space="preserve">1️⃣  Handling Duplicates</w:t>
      </w:r>
    </w:p>
    <w:p>
      <w:pPr>
        <w:spacing w:before="80" w:after="80"/>
      </w:pPr>
      <w:r>
        <w:rPr>
          <w:color w:val="374151"/>
          <w:sz w:val="22"/>
          <w:szCs w:val="22"/>
        </w:rPr>
        <w:t xml:space="preserve">1,081 duplicate transactions were identified and removed. Duplicate records cause overfitting — the model memorizes specific transactions instead of learning general fraud patterns. Duplicates also artificially inflate certain patterns, skewing the learned distribution.</w:t>
      </w:r>
    </w:p>
    <w:p>
      <w:pPr>
        <w:spacing w:before="120"/>
      </w:pPr>
      <w:r>
        <w:t xml:space="preserve"/>
      </w:r>
    </w:p>
    <w:p>
      <w:pPr>
        <w:spacing w:before="200" w:after="100"/>
      </w:pPr>
      <w:r>
        <w:rPr>
          <w:b/>
          <w:bCs/>
          <w:color w:val="1E3A5F"/>
          <w:sz w:val="24"/>
          <w:szCs w:val="24"/>
        </w:rPr>
        <w:t xml:space="preserve">2️⃣  Log Transformation for Amount</w:t>
      </w:r>
    </w:p>
    <w:p>
      <w:pPr>
        <w:spacing w:before="80" w:after="80"/>
      </w:pPr>
      <w:r>
        <w:rPr>
          <w:color w:val="374151"/>
          <w:sz w:val="22"/>
          <w:szCs w:val="22"/>
        </w:rPr>
        <w:t xml:space="preserve">The Amount column exhibited extreme right skewness (16.9), causing neural networks to focus disproportionately on large transactions. Applying log1p transformation reduced skewness to 0.16 — enabling the model to treat small and large transactions with equal importance and improving detection across all transaction sizes.</w:t>
      </w:r>
    </w:p>
    <w:p>
      <w:pPr>
        <w:spacing w:before="120"/>
      </w:pPr>
      <w:r>
        <w:t xml:space="preserve"/>
      </w:r>
    </w:p>
    <w:p>
      <w:pPr>
        <w:spacing w:before="200" w:after="100"/>
      </w:pPr>
      <w:r>
        <w:rPr>
          <w:b/>
          <w:bCs/>
          <w:color w:val="1E3A5F"/>
          <w:sz w:val="24"/>
          <w:szCs w:val="24"/>
        </w:rPr>
        <w:t xml:space="preserve">3️⃣  Outlier Strategy — Strategic Decision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Borders>
              <w:top w:val="single" w:color="2E75B6" w:sz="4"/>
              <w:left w:val="single" w:color="2E75B6" w:sz="4"/>
              <w:bottom w:val="single" w:color="2E75B6" w:sz="4"/>
              <w:right w:val="single" w:color="2E75B6" w:sz="4"/>
            </w:tcBorders>
            <w:shd w:fill="EBF3FB" w:val="clear"/>
            <w:tcMar>
              <w:top w:type="dxa" w:w="180"/>
              <w:left w:type="dxa" w:w="280"/>
              <w:bottom w:type="dxa" w:w="180"/>
              <w:right w:type="dxa" w:w="280"/>
            </w:tcMar>
          </w:tcPr>
          <w:p>
            <w:pPr>
              <w:spacing w:before="60" w:after="60"/>
            </w:pPr>
            <w:r>
              <w:rPr>
                <w:sz w:val="22"/>
                <w:szCs w:val="22"/>
              </w:rPr>
              <w:t xml:space="preserve">💎  </w:t>
            </w:r>
            <w:r>
              <w:rPr>
                <w:b/>
                <w:bCs/>
                <w:color w:val="1E3A5F"/>
                <w:sz w:val="22"/>
                <w:szCs w:val="22"/>
              </w:rPr>
              <w:t xml:space="preserve">Outliers were retained intentionally. </w:t>
            </w:r>
            <w:r>
              <w:rPr>
                <w:color w:val="374151"/>
                <w:sz w:val="22"/>
                <w:szCs w:val="22"/>
              </w:rPr>
              <w:t xml:space="preserve">In anomaly detection, outliers are the treasure. Fraud often manifests as extreme values or unusual patterns — removing outliers would remove the very fraud signals we are trying to detect.</w:t>
            </w:r>
          </w:p>
        </w:tc>
      </w:tr>
    </w:tbl>
    <w:p>
      <w:pPr>
        <w:spacing w:before="160"/>
      </w:pPr>
      <w:r>
        <w:t xml:space="preserve"/>
      </w:r>
    </w:p>
    <w:p>
      <w:pPr>
        <w:spacing w:before="280" w:after="120"/>
      </w:pPr>
      <w:r>
        <w:rPr>
          <w:b/>
          <w:bCs/>
          <w:color w:val="2E75B6"/>
          <w:sz w:val="26"/>
          <w:szCs w:val="26"/>
        </w:rPr>
        <w:t xml:space="preserve">Ethical Compliance Note</w:t>
      </w:r>
    </w:p>
    <w:p>
      <w:pPr>
        <w:spacing w:before="80" w:after="80"/>
      </w:pPr>
      <w:r>
        <w:rPr>
          <w:color w:val="374151"/>
          <w:sz w:val="22"/>
          <w:szCs w:val="22"/>
        </w:rPr>
        <w:t xml:space="preserve">Although the Class column (fraud labels) was used during EDA for understanding, it was completely removed before model training. This ensures the system remains truly unsupervised and can detect novel fraud patterns that have never been labeled before.</w:t>
      </w:r>
    </w:p>
    <w:p>
      <w:r>
        <w:br/>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Borders>
              <w:top w:val="none"/>
              <w:left w:val="none"/>
              <w:bottom w:val="none"/>
              <w:right w:val="none"/>
            </w:tcBorders>
            <w:shd w:fill="1E3A5F" w:val="clear"/>
            <w:tcMar>
              <w:top w:type="dxa" w:w="160"/>
              <w:left w:type="dxa" w:w="280"/>
              <w:bottom w:type="dxa" w:w="160"/>
              <w:right w:type="dxa" w:w="280"/>
            </w:tcMar>
          </w:tcPr>
          <w:p>
            <w:pPr>
              <w:jc w:val="left"/>
            </w:pPr>
            <w:r>
              <w:rPr>
                <w:sz w:val="28"/>
                <w:szCs w:val="28"/>
              </w:rPr>
              <w:t xml:space="preserve">🔍  </w:t>
            </w:r>
            <w:r>
              <w:rPr>
                <w:color w:val="B3D4F0"/>
                <w:sz w:val="28"/>
                <w:szCs w:val="28"/>
              </w:rPr>
              <w:t xml:space="preserve">Module 04  —  </w:t>
            </w:r>
            <w:r>
              <w:rPr>
                <w:b/>
                <w:bCs/>
                <w:color w:val="FFFFFF"/>
                <w:sz w:val="28"/>
                <w:szCs w:val="28"/>
              </w:rPr>
              <w:t xml:space="preserve">Exploratory Data Analysis</w:t>
            </w:r>
          </w:p>
        </w:tc>
      </w:tr>
    </w:tbl>
    <w:p>
      <w:pPr>
        <w:spacing w:before="200"/>
      </w:pPr>
      <w:r>
        <w:t xml:space="preserve"/>
      </w:r>
    </w:p>
    <w:p>
      <w:pPr>
        <w:spacing w:before="280" w:after="120"/>
      </w:pPr>
      <w:r>
        <w:rPr>
          <w:b/>
          <w:bCs/>
          <w:color w:val="2E75B6"/>
          <w:sz w:val="26"/>
          <w:szCs w:val="26"/>
        </w:rPr>
        <w:t xml:space="preserve">4.1 Class Distribution — The Needle in a Haystack</w:t>
      </w:r>
    </w:p>
    <w:p>
      <w:pPr>
        <w:spacing w:before="80" w:after="80"/>
      </w:pPr>
      <w:r>
        <w:rPr>
          <w:color w:val="374151"/>
          <w:sz w:val="22"/>
          <w:szCs w:val="22"/>
        </w:rPr>
        <w:t xml:space="preserve">Fraud cases are extremely rare relative to legitimate transactions. Without a logarithmic scale, fraud cases are virtually invisible in any plot. This severe class imbalance confirms that traditional supervised learning would struggle here, justifying our choice of unsupervised learning architecture.</w:t>
      </w:r>
    </w:p>
    <w:p>
      <w:pPr>
        <w:spacing w:before="160"/>
      </w:pPr>
      <w:r>
        <w:t xml:space="preserve"/>
      </w:r>
    </w:p>
    <w:p>
      <w:pPr>
        <w:spacing w:before="280" w:after="120"/>
      </w:pPr>
      <w:r>
        <w:rPr>
          <w:b/>
          <w:bCs/>
          <w:color w:val="2E75B6"/>
          <w:sz w:val="26"/>
          <w:szCs w:val="26"/>
        </w:rPr>
        <w:t xml:space="preserve">4.2 Amount Distribution — The Mimicry Effect</w:t>
      </w:r>
    </w:p>
    <w:p>
      <w:pPr>
        <w:spacing w:before="80" w:after="80"/>
      </w:pPr>
      <w:r>
        <w:rPr>
          <w:color w:val="374151"/>
          <w:sz w:val="22"/>
          <w:szCs w:val="22"/>
        </w:rPr>
        <w:t xml:space="preserve">Analysis revealed significant overlap between fraud and legitimate transaction amounts. Fraudsters intentionally choose normal-looking amounts to avoid detection. This reinforces the need for multi-dimensional analysis — the 30-feature latent representation captures subtle patterns that transaction amount alone cannot reveal.</w:t>
      </w:r>
    </w:p>
    <w:p>
      <w:pPr>
        <w:spacing w:before="160"/>
      </w:pPr>
      <w:r>
        <w:t xml:space="preserve"/>
      </w:r>
    </w:p>
    <w:p>
      <w:pPr>
        <w:spacing w:before="280" w:after="120"/>
      </w:pPr>
      <w:r>
        <w:rPr>
          <w:b/>
          <w:bCs/>
          <w:color w:val="2E75B6"/>
          <w:sz w:val="26"/>
          <w:szCs w:val="26"/>
        </w:rPr>
        <w:t xml:space="preserve">4.3 Time Distribution — The Vampire Pattern</w:t>
      </w:r>
    </w:p>
    <w:p>
      <w:pPr>
        <w:spacing w:before="80" w:after="80"/>
      </w:pPr>
      <w:r>
        <w:rPr>
          <w:color w:val="374151"/>
          <w:sz w:val="22"/>
          <w:szCs w:val="22"/>
        </w:rPr>
        <w:t xml:space="preserve">Legitimate transactions follow human circadian rhythms (active during day, quiet at night), while fraud transactions show irregular temporal patterns. Fraudsters often operate during off-hours when human monitoring is minimal. Automated bots and scripts do not follow human sleep cycles, making time a powerful behavioral feature.</w:t>
      </w:r>
    </w:p>
    <w:p>
      <w:pPr>
        <w:spacing w:before="160"/>
      </w:pPr>
      <w:r>
        <w:t xml:space="preserve"/>
      </w:r>
    </w:p>
    <w:p>
      <w:pPr>
        <w:spacing w:before="280" w:after="120"/>
      </w:pPr>
      <w:r>
        <w:rPr>
          <w:b/>
          <w:bCs/>
          <w:color w:val="2E75B6"/>
          <w:sz w:val="26"/>
          <w:szCs w:val="26"/>
        </w:rPr>
        <w:t xml:space="preserve">4.4 t-SNE Visualization — Visual Proof</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Borders>
              <w:top w:val="single" w:color="2E75B6" w:sz="4"/>
              <w:left w:val="single" w:color="2E75B6" w:sz="4"/>
              <w:bottom w:val="single" w:color="2E75B6" w:sz="4"/>
              <w:right w:val="single" w:color="2E75B6" w:sz="4"/>
            </w:tcBorders>
            <w:shd w:fill="EBF3FB" w:val="clear"/>
            <w:tcMar>
              <w:top w:type="dxa" w:w="180"/>
              <w:left w:type="dxa" w:w="280"/>
              <w:bottom w:type="dxa" w:w="180"/>
              <w:right w:type="dxa" w:w="280"/>
            </w:tcMar>
          </w:tcPr>
          <w:p>
            <w:pPr>
              <w:spacing w:before="60" w:after="60"/>
            </w:pPr>
            <w:r>
              <w:rPr>
                <w:sz w:val="22"/>
                <w:szCs w:val="22"/>
              </w:rPr>
              <w:t xml:space="preserve">✅  </w:t>
            </w:r>
            <w:r>
              <w:rPr>
                <w:color w:val="374151"/>
                <w:sz w:val="22"/>
                <w:szCs w:val="22"/>
              </w:rPr>
              <w:t xml:space="preserve">Fraud cases cluster into distinct threads or pathways — they do not scatter randomly.</w:t>
            </w:r>
          </w:p>
          <w:p>
            <w:pPr>
              <w:spacing w:before="60" w:after="60"/>
            </w:pPr>
            <w:r>
              <w:rPr>
                <w:sz w:val="22"/>
                <w:szCs w:val="22"/>
              </w:rPr>
              <w:t xml:space="preserve">✅  </w:t>
            </w:r>
            <w:r>
              <w:rPr>
                <w:color w:val="374151"/>
                <w:sz w:val="22"/>
                <w:szCs w:val="22"/>
              </w:rPr>
              <w:t xml:space="preserve">Normal transactions form dense clusters, confirming the Isolation Forest can isolate fraud threads.</w:t>
            </w:r>
          </w:p>
          <w:p>
            <w:pPr>
              <w:spacing w:before="60" w:after="60"/>
            </w:pPr>
            <w:r>
              <w:rPr>
                <w:sz w:val="22"/>
                <w:szCs w:val="22"/>
              </w:rPr>
              <w:t xml:space="preserve">✅  </w:t>
            </w:r>
            <w:r>
              <w:rPr>
                <w:color w:val="374151"/>
                <w:sz w:val="22"/>
                <w:szCs w:val="22"/>
              </w:rPr>
              <w:t xml:space="preserve">Fraud follows mathematical patterns in high-dimensional space — validating the hybrid approach.</w:t>
            </w:r>
          </w:p>
        </w:tc>
      </w:tr>
    </w:tbl>
    <w:p>
      <w:r>
        <w:br/>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Borders>
              <w:top w:val="none"/>
              <w:left w:val="none"/>
              <w:bottom w:val="none"/>
              <w:right w:val="none"/>
            </w:tcBorders>
            <w:shd w:fill="1E3A5F" w:val="clear"/>
            <w:tcMar>
              <w:top w:type="dxa" w:w="160"/>
              <w:left w:type="dxa" w:w="280"/>
              <w:bottom w:type="dxa" w:w="160"/>
              <w:right w:type="dxa" w:w="280"/>
            </w:tcMar>
          </w:tcPr>
          <w:p>
            <w:pPr>
              <w:jc w:val="left"/>
            </w:pPr>
            <w:r>
              <w:rPr>
                <w:sz w:val="28"/>
                <w:szCs w:val="28"/>
              </w:rPr>
              <w:t xml:space="preserve">🧠  </w:t>
            </w:r>
            <w:r>
              <w:rPr>
                <w:color w:val="B3D4F0"/>
                <w:sz w:val="28"/>
                <w:szCs w:val="28"/>
              </w:rPr>
              <w:t xml:space="preserve">Module 05  —  </w:t>
            </w:r>
            <w:r>
              <w:rPr>
                <w:b/>
                <w:bCs/>
                <w:color w:val="FFFFFF"/>
                <w:sz w:val="28"/>
                <w:szCs w:val="28"/>
              </w:rPr>
              <w:t xml:space="preserve">Model Development</w:t>
            </w:r>
          </w:p>
        </w:tc>
      </w:tr>
    </w:tbl>
    <w:p>
      <w:pPr>
        <w:spacing w:before="200"/>
      </w:pPr>
      <w:r>
        <w:t xml:space="preserve"/>
      </w:r>
    </w:p>
    <w:p>
      <w:pPr>
        <w:spacing w:before="280" w:after="120"/>
      </w:pPr>
      <w:r>
        <w:rPr>
          <w:b/>
          <w:bCs/>
          <w:color w:val="2E75B6"/>
          <w:sz w:val="26"/>
          <w:szCs w:val="26"/>
        </w:rPr>
        <w:t xml:space="preserve">Phase 1 — Autoencoder Architecture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200"/>
        <w:gridCol w:w="4600"/>
      </w:tblGrid>
      <w:tr>
        <w:tc>
          <w:tcPr>
            <w:tcW w:type="dxa" w:w="42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sz w:val="22"/>
                <w:szCs w:val="22"/>
              </w:rPr>
              <w:t xml:space="preserve">Component</w:t>
            </w:r>
          </w:p>
        </w:tc>
        <w:tc>
          <w:tcPr>
            <w:tcW w:type="dxa" w:w="46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sz w:val="22"/>
                <w:szCs w:val="22"/>
              </w:rPr>
              <w:t xml:space="preserve">Specification</w:t>
            </w:r>
          </w:p>
        </w:tc>
      </w:tr>
      <w:tr>
        <w:tc>
          <w:tcPr>
            <w:tcW w:type="dxa" w:w="4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Activation Function</w:t>
            </w:r>
          </w:p>
        </w:tc>
        <w:tc>
          <w:tcPr>
            <w:tcW w:type="dxa" w:w="4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ReLU (all hidden layers)</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Loss Function</w:t>
            </w:r>
          </w:p>
        </w:tc>
        <w:tc>
          <w:tcPr>
            <w:tcW w:type="dxa" w:w="4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Mean Squared Error (MSE)</w:t>
            </w:r>
          </w:p>
        </w:tc>
      </w:tr>
      <w:tr>
        <w:tc>
          <w:tcPr>
            <w:tcW w:type="dxa" w:w="4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Optimizer</w:t>
            </w:r>
          </w:p>
        </w:tc>
        <w:tc>
          <w:tcPr>
            <w:tcW w:type="dxa" w:w="4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Adam</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Encoder Layers</w:t>
            </w:r>
          </w:p>
        </w:tc>
        <w:tc>
          <w:tcPr>
            <w:tcW w:type="dxa" w:w="4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128 → 64 → 32 → 16 → 10 (Latent)</w:t>
            </w:r>
          </w:p>
        </w:tc>
      </w:tr>
      <w:tr>
        <w:tc>
          <w:tcPr>
            <w:tcW w:type="dxa" w:w="4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Decoder Layers</w:t>
            </w:r>
          </w:p>
        </w:tc>
        <w:tc>
          <w:tcPr>
            <w:tcW w:type="dxa" w:w="4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16 → 32 → 64 → 128 → 30 (Output)</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Anomaly Signal</w:t>
            </w:r>
          </w:p>
        </w:tc>
        <w:tc>
          <w:tcPr>
            <w:tcW w:type="dxa" w:w="4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Reconstruction Error — top 5% flagged as anomalies</w:t>
            </w:r>
          </w:p>
        </w:tc>
      </w:tr>
      <w:tr>
        <w:tc>
          <w:tcPr>
            <w:tcW w:type="dxa" w:w="4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MSE Threshold</w:t>
            </w:r>
          </w:p>
        </w:tc>
        <w:tc>
          <w:tcPr>
            <w:tcW w:type="dxa" w:w="4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0.3446 (95th percentile)</w:t>
            </w:r>
          </w:p>
        </w:tc>
      </w:tr>
    </w:tbl>
    <w:p>
      <w:pPr>
        <w:spacing w:before="200"/>
      </w:pPr>
      <w:r>
        <w:t xml:space="preserve"/>
      </w:r>
    </w:p>
    <w:p>
      <w:pPr>
        <w:spacing w:before="200" w:after="100"/>
      </w:pPr>
      <w:r>
        <w:rPr>
          <w:b/>
          <w:bCs/>
          <w:color w:val="1E3A5F"/>
          <w:sz w:val="24"/>
          <w:szCs w:val="24"/>
        </w:rPr>
        <w:t xml:space="preserve">The Latent Space — 10 Features</w:t>
      </w:r>
    </w:p>
    <w:p>
      <w:pPr>
        <w:spacing w:before="80" w:after="80"/>
      </w:pPr>
      <w:r>
        <w:rPr>
          <w:color w:val="374151"/>
          <w:sz w:val="22"/>
          <w:szCs w:val="22"/>
        </w:rPr>
        <w:t xml:space="preserve">The 30 original features are compressed into 10 essential features representing the core behavioral signature of a transaction. Processing 10 features is approximately 3× faster than 30 raw features. Too few dimensions (e.g., 3) would lose important patterns; too many (e.g., 25) would retain noise and slow down the Isolation Forest.</w:t>
      </w:r>
    </w:p>
    <w:p>
      <w:pPr>
        <w:spacing w:before="200"/>
      </w:pPr>
      <w:r>
        <w:t xml:space="preserve"/>
      </w:r>
    </w:p>
    <w:p>
      <w:pPr>
        <w:spacing w:before="280" w:after="120"/>
      </w:pPr>
      <w:r>
        <w:rPr>
          <w:b/>
          <w:bCs/>
          <w:color w:val="2E75B6"/>
          <w:sz w:val="26"/>
          <w:szCs w:val="26"/>
        </w:rPr>
        <w:t xml:space="preserve">Phase 2 — Isolation Forest on Latent Features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200"/>
        <w:gridCol w:w="4600"/>
      </w:tblGrid>
      <w:tr>
        <w:tc>
          <w:tcPr>
            <w:tcW w:type="dxa" w:w="42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sz w:val="22"/>
                <w:szCs w:val="22"/>
              </w:rPr>
              <w:t xml:space="preserve">Component</w:t>
            </w:r>
          </w:p>
        </w:tc>
        <w:tc>
          <w:tcPr>
            <w:tcW w:type="dxa" w:w="46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sz w:val="22"/>
                <w:szCs w:val="22"/>
              </w:rPr>
              <w:t xml:space="preserve">Specification</w:t>
            </w:r>
          </w:p>
        </w:tc>
      </w:tr>
      <w:tr>
        <w:tc>
          <w:tcPr>
            <w:tcW w:type="dxa" w:w="4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Input</w:t>
            </w:r>
          </w:p>
        </w:tc>
        <w:tc>
          <w:tcPr>
            <w:tcW w:type="dxa" w:w="4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10 latent features from Autoencoder</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Number of Trees</w:t>
            </w:r>
          </w:p>
        </w:tc>
        <w:tc>
          <w:tcPr>
            <w:tcW w:type="dxa" w:w="4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100</w:t>
            </w:r>
          </w:p>
        </w:tc>
      </w:tr>
      <w:tr>
        <w:tc>
          <w:tcPr>
            <w:tcW w:type="dxa" w:w="4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Contamination Rate</w:t>
            </w:r>
          </w:p>
        </w:tc>
        <w:tc>
          <w:tcPr>
            <w:tcW w:type="dxa" w:w="4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5% (expected fraud rate)</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Anomaly Signal</w:t>
            </w:r>
          </w:p>
        </w:tc>
        <w:tc>
          <w:tcPr>
            <w:tcW w:type="dxa" w:w="4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Isolation score — bottom 3% flagged as anomalies</w:t>
            </w:r>
          </w:p>
        </w:tc>
      </w:tr>
      <w:tr>
        <w:tc>
          <w:tcPr>
            <w:tcW w:type="dxa" w:w="4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ISO Threshold</w:t>
            </w:r>
          </w:p>
        </w:tc>
        <w:tc>
          <w:tcPr>
            <w:tcW w:type="dxa" w:w="4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-0.0455 (3rd percentile)</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Advantage</w:t>
            </w:r>
          </w:p>
        </w:tc>
        <w:tc>
          <w:tcPr>
            <w:tcW w:type="dxa" w:w="4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Operating on clean latent features improves speed and accuracy</w:t>
            </w:r>
          </w:p>
        </w:tc>
      </w:tr>
    </w:tbl>
    <w:p>
      <w:pPr>
        <w:spacing w:before="200"/>
      </w:pPr>
      <w:r>
        <w:t xml:space="preserve"/>
      </w:r>
    </w:p>
    <w:p>
      <w:pPr>
        <w:spacing w:before="280" w:after="120"/>
      </w:pPr>
      <w:r>
        <w:rPr>
          <w:b/>
          <w:bCs/>
          <w:color w:val="2E75B6"/>
          <w:sz w:val="26"/>
          <w:szCs w:val="26"/>
        </w:rPr>
        <w:t xml:space="preserve">Phase 3 — Hybrid Logic (The Double Gate)</w:t>
      </w:r>
    </w:p>
    <w:p>
      <w:pPr>
        <w:spacing w:before="80" w:after="80"/>
      </w:pPr>
      <w:r>
        <w:rPr>
          <w:color w:val="374151"/>
          <w:sz w:val="22"/>
          <w:szCs w:val="22"/>
        </w:rPr>
        <w:t xml:space="preserve">The final decision rule combines both models using an OR gate: if either the Autoencoder flags a transaction (high MSE) OR the Isolation Forest flags it (low anomaly score), the transaction is marked as FRAUD. Only if both models clear it is it considered LEGITIMATE.</w:t>
      </w:r>
    </w:p>
    <w:p>
      <w:pPr>
        <w:spacing w:before="120"/>
      </w:pPr>
      <w: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Borders>
              <w:top w:val="single" w:color="2E75B6" w:sz="4"/>
              <w:left w:val="single" w:color="2E75B6" w:sz="4"/>
              <w:bottom w:val="single" w:color="2E75B6" w:sz="4"/>
              <w:right w:val="single" w:color="2E75B6" w:sz="4"/>
            </w:tcBorders>
            <w:shd w:fill="EBF3FB" w:val="clear"/>
            <w:tcMar>
              <w:top w:type="dxa" w:w="180"/>
              <w:left w:type="dxa" w:w="280"/>
              <w:bottom w:type="dxa" w:w="180"/>
              <w:right w:type="dxa" w:w="280"/>
            </w:tcMar>
          </w:tcPr>
          <w:p>
            <w:pPr>
              <w:spacing w:before="60" w:after="60"/>
            </w:pPr>
            <w:r>
              <w:rPr>
                <w:b/>
                <w:bCs/>
                <w:color w:val="1E3A5F"/>
                <w:sz w:val="22"/>
                <w:szCs w:val="22"/>
              </w:rPr>
              <w:t xml:space="preserve">Complementary Strengths: </w:t>
            </w:r>
            <w:r>
              <w:rPr>
                <w:color w:val="374151"/>
                <w:sz w:val="22"/>
                <w:szCs w:val="22"/>
              </w:rPr>
              <w:t xml:space="preserve">AE catches behavioral anomalies; ISO catches geometric anomalies in feature space.</w:t>
            </w:r>
          </w:p>
          <w:p>
            <w:pPr>
              <w:spacing w:before="60" w:after="60"/>
            </w:pPr>
            <w:r>
              <w:rPr>
                <w:b/>
                <w:bCs/>
                <w:color w:val="1E3A5F"/>
                <w:sz w:val="22"/>
                <w:szCs w:val="22"/>
              </w:rPr>
              <w:t xml:space="preserve">Redundancy by Design: </w:t>
            </w:r>
            <w:r>
              <w:rPr>
                <w:color w:val="374151"/>
                <w:sz w:val="22"/>
                <w:szCs w:val="22"/>
              </w:rPr>
              <w:t xml:space="preserve">If a sophisticated fraudster evades one model, they still face the other.</w:t>
            </w:r>
          </w:p>
          <w:p>
            <w:pPr>
              <w:spacing w:before="60" w:after="60"/>
            </w:pPr>
            <w:r>
              <w:rPr>
                <w:b/>
                <w:bCs/>
                <w:color w:val="1E3A5F"/>
                <w:sz w:val="22"/>
                <w:szCs w:val="22"/>
              </w:rPr>
              <w:t xml:space="preserve">Safety First Philosophy: </w:t>
            </w:r>
            <w:r>
              <w:rPr>
                <w:color w:val="374151"/>
                <w:sz w:val="22"/>
                <w:szCs w:val="22"/>
              </w:rPr>
              <w:t xml:space="preserve">Missing fraud is far more costly than investigating a false alarm.</w:t>
            </w:r>
          </w:p>
        </w:tc>
      </w:tr>
    </w:tbl>
    <w:p>
      <w:r>
        <w:br/>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Borders>
              <w:top w:val="none"/>
              <w:left w:val="none"/>
              <w:bottom w:val="none"/>
              <w:right w:val="none"/>
            </w:tcBorders>
            <w:shd w:fill="1E3A5F" w:val="clear"/>
            <w:tcMar>
              <w:top w:type="dxa" w:w="160"/>
              <w:left w:type="dxa" w:w="280"/>
              <w:bottom w:type="dxa" w:w="160"/>
              <w:right w:type="dxa" w:w="280"/>
            </w:tcMar>
          </w:tcPr>
          <w:p>
            <w:pPr>
              <w:jc w:val="left"/>
            </w:pPr>
            <w:r>
              <w:rPr>
                <w:sz w:val="28"/>
                <w:szCs w:val="28"/>
              </w:rPr>
              <w:t xml:space="preserve">🚀  </w:t>
            </w:r>
            <w:r>
              <w:rPr>
                <w:color w:val="B3D4F0"/>
                <w:sz w:val="28"/>
                <w:szCs w:val="28"/>
              </w:rPr>
              <w:t xml:space="preserve">Module 06  —  </w:t>
            </w:r>
            <w:r>
              <w:rPr>
                <w:b/>
                <w:bCs/>
                <w:color w:val="FFFFFF"/>
                <w:sz w:val="28"/>
                <w:szCs w:val="28"/>
              </w:rPr>
              <w:t xml:space="preserve">MLOps &amp; Model Governance</w:t>
            </w:r>
          </w:p>
        </w:tc>
      </w:tr>
    </w:tbl>
    <w:p>
      <w:pPr>
        <w:spacing w:before="200"/>
      </w:pPr>
      <w:r>
        <w:t xml:space="preserve"/>
      </w:r>
    </w:p>
    <w:p>
      <w:pPr>
        <w:spacing w:before="280" w:after="120"/>
      </w:pPr>
      <w:r>
        <w:rPr>
          <w:b/>
          <w:bCs/>
          <w:color w:val="2E75B6"/>
          <w:sz w:val="26"/>
          <w:szCs w:val="26"/>
        </w:rPr>
        <w:t xml:space="preserve">6.1 MLflow MLOps Lifecycle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600"/>
        <w:gridCol w:w="5200"/>
      </w:tblGrid>
      <w:tr>
        <w:tc>
          <w:tcPr>
            <w:tcW w:type="dxa" w:w="36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sz w:val="22"/>
                <w:szCs w:val="22"/>
              </w:rPr>
              <w:t xml:space="preserve">Component</w:t>
            </w:r>
          </w:p>
        </w:tc>
        <w:tc>
          <w:tcPr>
            <w:tcW w:type="dxa" w:w="52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sz w:val="22"/>
                <w:szCs w:val="22"/>
              </w:rPr>
              <w:t xml:space="preserve">Description</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MLflow Tracking</w:t>
            </w:r>
          </w:p>
        </w:tc>
        <w:tc>
          <w:tcPr>
            <w:tcW w:type="dxa" w:w="5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Experiment tracking, metrics logging, and parameter storage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Custom Model Wrapper</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Encapsulates Scaler → Autoencoder → Isolation Forest in one deployable unit</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Model Signature</w:t>
            </w:r>
          </w:p>
        </w:tc>
        <w:tc>
          <w:tcPr>
            <w:tcW w:type="dxa" w:w="5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Input/output schema validation — rejects malformed requests automatically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MLflow Registry</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Centralized model versioning with full audit trail</w:t>
            </w:r>
          </w:p>
        </w:tc>
      </w:tr>
      <w:tr>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Quality Gate</w:t>
            </w:r>
          </w:p>
        </w:tc>
        <w:tc>
          <w:tcPr>
            <w:tcW w:type="dxa" w:w="5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Automated validation — only models with Recall ≥ 80% are promoted to Production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Model Artifacts</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scaler.pkl, autoencoder.h5, isolation_forest.pkl</w:t>
            </w:r>
          </w:p>
        </w:tc>
      </w:tr>
    </w:tbl>
    <w:p>
      <w:pPr>
        <w:spacing w:before="200"/>
      </w:pPr>
      <w:r>
        <w:t xml:space="preserve"/>
      </w:r>
    </w:p>
    <w:p>
      <w:pPr>
        <w:spacing w:before="280" w:after="120"/>
      </w:pPr>
      <w:r>
        <w:rPr>
          <w:b/>
          <w:bCs/>
          <w:color w:val="2E75B6"/>
          <w:sz w:val="26"/>
          <w:szCs w:val="26"/>
        </w:rPr>
        <w:t xml:space="preserve">6.2 Automated Quality Gates</w:t>
      </w:r>
    </w:p>
    <w:p>
      <w:pPr>
        <w:spacing w:before="80" w:after="80"/>
      </w:pPr>
      <w:r>
        <w:rPr>
          <w:color w:val="374151"/>
          <w:sz w:val="22"/>
          <w:szCs w:val="22"/>
        </w:rPr>
        <w:t xml:space="preserve">The promotion logic enforces a minimum recall threshold of 80% before any model version is transitioned to Production. If a model fails this gate, it remains in Staging for further tuning. This prevents bad models from reaching production and enables automated CI/CD pipelines for model deployment.</w:t>
      </w:r>
    </w:p>
    <w:p>
      <w:pPr>
        <w:spacing w:before="120"/>
      </w:pPr>
      <w: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Borders>
              <w:top w:val="single" w:color="2E75B6" w:sz="4"/>
              <w:left w:val="single" w:color="2E75B6" w:sz="4"/>
              <w:bottom w:val="single" w:color="2E75B6" w:sz="4"/>
              <w:right w:val="single" w:color="2E75B6" w:sz="4"/>
            </w:tcBorders>
            <w:shd w:fill="EBF3FB" w:val="clear"/>
            <w:tcMar>
              <w:top w:type="dxa" w:w="180"/>
              <w:left w:type="dxa" w:w="280"/>
              <w:bottom w:type="dxa" w:w="180"/>
              <w:right w:type="dxa" w:w="280"/>
            </w:tcMar>
          </w:tcPr>
          <w:p>
            <w:pPr>
              <w:spacing w:before="60" w:after="60"/>
            </w:pPr>
            <w:r>
              <w:rPr>
                <w:sz w:val="22"/>
                <w:szCs w:val="22"/>
              </w:rPr>
              <w:t xml:space="preserve">🚨  </w:t>
            </w:r>
            <w:r>
              <w:rPr>
                <w:color w:val="374151"/>
                <w:sz w:val="22"/>
                <w:szCs w:val="22"/>
              </w:rPr>
              <w:t xml:space="preserve">Recall Fraud ≥ 80% → Promoted to Production stage in MLflow registry.</w:t>
            </w:r>
          </w:p>
          <w:p>
            <w:pPr>
              <w:spacing w:before="60" w:after="60"/>
            </w:pPr>
            <w:r>
              <w:rPr>
                <w:sz w:val="22"/>
                <w:szCs w:val="22"/>
              </w:rPr>
              <w:t xml:space="preserve">🔄  </w:t>
            </w:r>
            <w:r>
              <w:rPr>
                <w:color w:val="374151"/>
                <w:sz w:val="22"/>
                <w:szCs w:val="22"/>
              </w:rPr>
              <w:t xml:space="preserve">Recall &lt; 80% → Remains in Staging for further optimization.</w:t>
            </w:r>
          </w:p>
        </w:tc>
      </w:tr>
    </w:tbl>
    <w:p>
      <w:pPr>
        <w:spacing w:before="200"/>
      </w:pPr>
      <w:r>
        <w:t xml:space="preserve"/>
      </w:r>
    </w:p>
    <w:p>
      <w:pPr>
        <w:spacing w:before="280" w:after="120"/>
      </w:pPr>
      <w:r>
        <w:rPr>
          <w:b/>
          <w:bCs/>
          <w:color w:val="2E75B6"/>
          <w:sz w:val="26"/>
          <w:szCs w:val="26"/>
        </w:rPr>
        <w:t xml:space="preserve">6.3 Logged Parameters &amp; Metrics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000"/>
      </w:tblGrid>
      <w:tr>
        <w:tc>
          <w:tcPr>
            <w:tcW w:type="dxa" w:w="2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sz w:val="22"/>
                <w:szCs w:val="22"/>
              </w:rPr>
              <w:t xml:space="preserve">Type</w:t>
            </w:r>
          </w:p>
        </w:tc>
        <w:tc>
          <w:tcPr>
            <w:tcW w:type="dxa" w:w="3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sz w:val="22"/>
                <w:szCs w:val="22"/>
              </w:rPr>
              <w:t xml:space="preserve">Key</w:t>
            </w:r>
          </w:p>
        </w:tc>
        <w:tc>
          <w:tcPr>
            <w:tcW w:type="dxa" w:w="3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sz w:val="22"/>
                <w:szCs w:val="22"/>
              </w:rPr>
              <w:t xml:space="preserve">Value</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Parameter</w:t>
            </w:r>
          </w:p>
        </w:tc>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latent_dim</w:t>
            </w:r>
          </w:p>
        </w:tc>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10</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Parameter</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iso_estimators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100</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Parameter</w:t>
            </w:r>
          </w:p>
        </w:tc>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mse_threshold</w:t>
            </w:r>
          </w:p>
        </w:tc>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0.3446</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Parameter</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iso_threshold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-0.0455</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Metric</w:t>
            </w:r>
          </w:p>
        </w:tc>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recall_fraud</w:t>
            </w:r>
          </w:p>
        </w:tc>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0.8333</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Metric</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precision_fraud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0.0203</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Metric</w:t>
            </w:r>
          </w:p>
        </w:tc>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accuracy</w:t>
            </w:r>
          </w:p>
        </w:tc>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0.9359</w:t>
            </w:r>
          </w:p>
        </w:tc>
      </w:tr>
    </w:tbl>
    <w:p>
      <w:r>
        <w:br/>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Borders>
              <w:top w:val="none"/>
              <w:left w:val="none"/>
              <w:bottom w:val="none"/>
              <w:right w:val="none"/>
            </w:tcBorders>
            <w:shd w:fill="1E3A5F" w:val="clear"/>
            <w:tcMar>
              <w:top w:type="dxa" w:w="160"/>
              <w:left w:type="dxa" w:w="280"/>
              <w:bottom w:type="dxa" w:w="160"/>
              <w:right w:type="dxa" w:w="280"/>
            </w:tcMar>
          </w:tcPr>
          <w:p>
            <w:pPr>
              <w:jc w:val="left"/>
            </w:pPr>
            <w:r>
              <w:rPr>
                <w:sz w:val="28"/>
                <w:szCs w:val="28"/>
              </w:rPr>
              <w:t xml:space="preserve">📈  </w:t>
            </w:r>
            <w:r>
              <w:rPr>
                <w:color w:val="B3D4F0"/>
                <w:sz w:val="28"/>
                <w:szCs w:val="28"/>
              </w:rPr>
              <w:t xml:space="preserve">Module 07  —  </w:t>
            </w:r>
            <w:r>
              <w:rPr>
                <w:b/>
                <w:bCs/>
                <w:color w:val="FFFFFF"/>
                <w:sz w:val="28"/>
                <w:szCs w:val="28"/>
              </w:rPr>
              <w:t xml:space="preserve">Results &amp; Performance Metrics</w:t>
            </w:r>
          </w:p>
        </w:tc>
      </w:tr>
    </w:tbl>
    <w:p>
      <w:pPr>
        <w:spacing w:before="200"/>
      </w:pPr>
      <w:r>
        <w:t xml:space="preserve"/>
      </w:r>
    </w:p>
    <w:p>
      <w:pPr>
        <w:spacing w:before="280" w:after="120"/>
      </w:pPr>
      <w:r>
        <w:rPr>
          <w:b/>
          <w:bCs/>
          <w:color w:val="2E75B6"/>
          <w:sz w:val="26"/>
          <w:szCs w:val="26"/>
        </w:rPr>
        <w:t xml:space="preserve">7.1 Model Performance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3600"/>
      </w:tblGrid>
      <w:tr>
        <w:tc>
          <w:tcPr>
            <w:tcW w:type="dxa" w:w="3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sz w:val="22"/>
                <w:szCs w:val="22"/>
              </w:rPr>
              <w:t xml:space="preserve">Metric</w:t>
            </w:r>
          </w:p>
        </w:tc>
        <w:tc>
          <w:tcPr>
            <w:tcW w:type="dxa" w:w="22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sz w:val="22"/>
                <w:szCs w:val="22"/>
              </w:rPr>
              <w:t xml:space="preserve">Value</w:t>
            </w:r>
          </w:p>
        </w:tc>
        <w:tc>
          <w:tcPr>
            <w:tcW w:type="dxa" w:w="36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sz w:val="22"/>
                <w:szCs w:val="22"/>
              </w:rPr>
              <w:t xml:space="preserve">Interpretation</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Recall (Fraud)</w:t>
            </w:r>
          </w:p>
        </w:tc>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83.33%</w:t>
            </w:r>
          </w:p>
        </w:tc>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 Catches 5 out of 6 fraudulent transactions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Precision (Fraud)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2.03%</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 For every 100 flagged, ~2 are actually fraud</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Overall Accuracy</w:t>
            </w:r>
          </w:p>
        </w:tc>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93.59%</w:t>
            </w:r>
          </w:p>
        </w:tc>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 Correctly classifies 93.59% of all transactions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False Negative Rate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16.67%</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 Misses 1 out of 6 fraud cases</w:t>
            </w:r>
          </w:p>
        </w:tc>
      </w:tr>
    </w:tbl>
    <w:p>
      <w:pPr>
        <w:spacing w:before="200"/>
      </w:pPr>
      <w:r>
        <w:t xml:space="preserve"/>
      </w:r>
    </w:p>
    <w:p>
      <w:pPr>
        <w:spacing w:before="280" w:after="120"/>
      </w:pPr>
      <w:r>
        <w:rPr>
          <w:b/>
          <w:bCs/>
          <w:color w:val="2E75B6"/>
          <w:sz w:val="26"/>
          <w:szCs w:val="26"/>
        </w:rPr>
        <w:t xml:space="preserve">7.2 Why Low Precision is Acceptable</w:t>
      </w:r>
    </w:p>
    <w:p>
      <w:pPr>
        <w:spacing w:before="80" w:after="80"/>
      </w:pPr>
      <w:r>
        <w:rPr>
          <w:color w:val="374151"/>
          <w:sz w:val="22"/>
          <w:szCs w:val="22"/>
        </w:rPr>
        <w:t xml:space="preserve">Precision is only 2.03% — but this is not a failure. Fraud represents less than 0.2% of all transactions. The cost of a False Positive is a 10–30 second manual review. The cost of a False Negative is $1,000–$10,000 in missed fraud. In this business context, Recall is the king.</w:t>
      </w:r>
    </w:p>
    <w:p>
      <w:pPr>
        <w:spacing w:before="120"/>
      </w:pPr>
      <w: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Borders>
              <w:top w:val="single" w:color="2E75B6" w:sz="4"/>
              <w:left w:val="single" w:color="2E75B6" w:sz="4"/>
              <w:bottom w:val="single" w:color="2E75B6" w:sz="4"/>
              <w:right w:val="single" w:color="2E75B6" w:sz="4"/>
            </w:tcBorders>
            <w:shd w:fill="EBF3FB" w:val="clear"/>
            <w:tcMar>
              <w:top w:type="dxa" w:w="180"/>
              <w:left w:type="dxa" w:w="280"/>
              <w:bottom w:type="dxa" w:w="180"/>
              <w:right w:type="dxa" w:w="280"/>
            </w:tcMar>
          </w:tcPr>
          <w:p>
            <w:pPr>
              <w:spacing w:before="60" w:after="60"/>
            </w:pPr>
            <w:r>
              <w:rPr>
                <w:sz w:val="22"/>
                <w:szCs w:val="22"/>
              </w:rPr>
              <w:t xml:space="preserve">💰  </w:t>
            </w:r>
            <w:r>
              <w:rPr>
                <w:color w:val="374151"/>
                <w:sz w:val="22"/>
                <w:szCs w:val="22"/>
              </w:rPr>
              <w:t xml:space="preserve">Flagged transactions go to a fast-track human review queue — minimal delay for legitimate customers.</w:t>
            </w:r>
          </w:p>
          <w:p>
            <w:pPr>
              <w:spacing w:before="60" w:after="60"/>
            </w:pPr>
            <w:r>
              <w:rPr>
                <w:sz w:val="22"/>
                <w:szCs w:val="22"/>
              </w:rPr>
              <w:t xml:space="preserve">📉  </w:t>
            </w:r>
            <w:r>
              <w:rPr>
                <w:color w:val="374151"/>
                <w:sz w:val="22"/>
                <w:szCs w:val="22"/>
              </w:rPr>
              <w:t xml:space="preserve">Bank's fraud loss rate drops by 83% through this dual-verification approach.</w:t>
            </w:r>
          </w:p>
        </w:tc>
      </w:tr>
    </w:tbl>
    <w:p>
      <w:pPr>
        <w:spacing w:before="200"/>
      </w:pPr>
      <w:r>
        <w:t xml:space="preserve"/>
      </w:r>
    </w:p>
    <w:p>
      <w:pPr>
        <w:spacing w:before="280" w:after="120"/>
      </w:pPr>
      <w:r>
        <w:rPr>
          <w:b/>
          <w:bCs/>
          <w:color w:val="2E75B6"/>
          <w:sz w:val="26"/>
          <w:szCs w:val="26"/>
        </w:rPr>
        <w:t xml:space="preserve">7.3 Stability Metrics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3400"/>
      </w:tblGrid>
      <w:tr>
        <w:tc>
          <w:tcPr>
            <w:tcW w:type="dxa" w:w="32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sz w:val="22"/>
                <w:szCs w:val="22"/>
              </w:rPr>
              <w:t xml:space="preserve">Metric</w:t>
            </w:r>
          </w:p>
        </w:tc>
        <w:tc>
          <w:tcPr>
            <w:tcW w:type="dxa" w:w="22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sz w:val="22"/>
                <w:szCs w:val="22"/>
              </w:rPr>
              <w:t xml:space="preserve">Value</w:t>
            </w:r>
          </w:p>
        </w:tc>
        <w:tc>
          <w:tcPr>
            <w:tcW w:type="dxa" w:w="34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sz w:val="22"/>
                <w:szCs w:val="22"/>
              </w:rPr>
              <w:t xml:space="preserve">Meaning</w:t>
            </w:r>
          </w:p>
        </w:tc>
      </w:tr>
      <w:tr>
        <w:tc>
          <w:tcPr>
            <w:tcW w:type="dxa" w:w="3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Mean ISO Score</w:t>
            </w:r>
          </w:p>
        </w:tc>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0.1087</w:t>
            </w:r>
          </w:p>
        </w:tc>
        <w:tc>
          <w:tcPr>
            <w:tcW w:type="dxa" w:w="34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Average anomaly score across all transactions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ISO Score Std Dev</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0.0601</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Measures consistency of ISO predictions</w:t>
            </w:r>
          </w:p>
        </w:tc>
      </w:tr>
    </w:tbl>
    <w:p>
      <w:pPr>
        <w:spacing w:before="160"/>
      </w:pPr>
      <w:r>
        <w:t xml:space="preserve"/>
      </w:r>
    </w:p>
    <w:p>
      <w:pPr>
        <w:spacing w:before="80" w:after="80"/>
      </w:pPr>
      <w:r>
        <w:rPr>
          <w:color w:val="374151"/>
          <w:sz w:val="22"/>
          <w:szCs w:val="22"/>
        </w:rPr>
        <w:t xml:space="preserve">Stable scores indicate the model is not overfitting to training noise. If these values deviate significantly in production, it signals that fraud patterns are evolving and retraining should be triggered.</w:t>
      </w:r>
    </w:p>
    <w:p>
      <w:r>
        <w:br/>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Borders>
              <w:top w:val="none"/>
              <w:left w:val="none"/>
              <w:bottom w:val="none"/>
              <w:right w:val="none"/>
            </w:tcBorders>
            <w:shd w:fill="1E3A5F" w:val="clear"/>
            <w:tcMar>
              <w:top w:type="dxa" w:w="160"/>
              <w:left w:type="dxa" w:w="280"/>
              <w:bottom w:type="dxa" w:w="160"/>
              <w:right w:type="dxa" w:w="280"/>
            </w:tcMar>
          </w:tcPr>
          <w:p>
            <w:pPr>
              <w:jc w:val="left"/>
            </w:pPr>
            <w:r>
              <w:rPr>
                <w:sz w:val="28"/>
                <w:szCs w:val="28"/>
              </w:rPr>
              <w:t xml:space="preserve">⚙️  </w:t>
            </w:r>
            <w:r>
              <w:rPr>
                <w:color w:val="B3D4F0"/>
                <w:sz w:val="28"/>
                <w:szCs w:val="28"/>
              </w:rPr>
              <w:t xml:space="preserve">Module 08  —  </w:t>
            </w:r>
            <w:r>
              <w:rPr>
                <w:b/>
                <w:bCs/>
                <w:color w:val="FFFFFF"/>
                <w:sz w:val="28"/>
                <w:szCs w:val="28"/>
              </w:rPr>
              <w:t xml:space="preserve">Hyperparameters Configuration</w:t>
            </w:r>
          </w:p>
        </w:tc>
      </w:tr>
    </w:tbl>
    <w:p>
      <w:pPr>
        <w:spacing w:before="200"/>
      </w:pPr>
      <w:r>
        <w:t xml:space="preserve"/>
      </w:r>
    </w:p>
    <w:p>
      <w:pPr>
        <w:spacing w:before="280" w:after="120"/>
      </w:pPr>
      <w:r>
        <w:rPr>
          <w:b/>
          <w:bCs/>
          <w:color w:val="2E75B6"/>
          <w:sz w:val="26"/>
          <w:szCs w:val="26"/>
        </w:rPr>
        <w:t xml:space="preserve">8.1 Model Architecture Parameters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000"/>
      </w:tblGrid>
      <w:tr>
        <w:tc>
          <w:tcPr>
            <w:tcW w:type="dxa" w:w="3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sz w:val="22"/>
                <w:szCs w:val="22"/>
              </w:rPr>
              <w:t xml:space="preserve">Parameter</w:t>
            </w:r>
          </w:p>
        </w:tc>
        <w:tc>
          <w:tcPr>
            <w:tcW w:type="dxa" w:w="1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sz w:val="22"/>
                <w:szCs w:val="22"/>
              </w:rPr>
              <w:t xml:space="preserve">Value</w:t>
            </w:r>
          </w:p>
        </w:tc>
        <w:tc>
          <w:tcPr>
            <w:tcW w:type="dxa" w:w="4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sz w:val="22"/>
                <w:szCs w:val="22"/>
              </w:rPr>
              <w:t xml:space="preserve">Rationale</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Latent Dimension</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10</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Optimal balance between compression and information retention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ISO Estimators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100</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Sufficient trees for stable predictions without overfitting</w:t>
            </w:r>
          </w:p>
        </w:tc>
      </w:tr>
      <w:tr>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Outlier Fraction</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5%</w:t>
            </w:r>
          </w:p>
        </w:tc>
        <w:tc>
          <w:tcPr>
            <w:tcW w:type="dxa" w:w="4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Matches expected fraud rate in real-world transaction data</w:t>
            </w:r>
          </w:p>
        </w:tc>
      </w:tr>
    </w:tbl>
    <w:p>
      <w:pPr>
        <w:spacing w:before="200"/>
      </w:pPr>
      <w:r>
        <w:t xml:space="preserve"/>
      </w:r>
    </w:p>
    <w:p>
      <w:pPr>
        <w:spacing w:before="280" w:after="120"/>
      </w:pPr>
      <w:r>
        <w:rPr>
          <w:b/>
          <w:bCs/>
          <w:color w:val="2E75B6"/>
          <w:sz w:val="26"/>
          <w:szCs w:val="26"/>
        </w:rPr>
        <w:t xml:space="preserve">8.2 Threshold Settings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800"/>
        <w:gridCol w:w="3000"/>
      </w:tblGrid>
      <w:tr>
        <w:tc>
          <w:tcPr>
            <w:tcW w:type="dxa" w:w="22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sz w:val="22"/>
                <w:szCs w:val="22"/>
              </w:rPr>
              <w:t xml:space="preserve">Threshold</w:t>
            </w:r>
          </w:p>
        </w:tc>
        <w:tc>
          <w:tcPr>
            <w:tcW w:type="dxa" w:w="1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sz w:val="22"/>
                <w:szCs w:val="22"/>
              </w:rPr>
              <w:t xml:space="preserve">Percentile</w:t>
            </w:r>
          </w:p>
        </w:tc>
        <w:tc>
          <w:tcPr>
            <w:tcW w:type="dxa" w:w="1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sz w:val="22"/>
                <w:szCs w:val="22"/>
              </w:rPr>
              <w:t xml:space="preserve">Actual Value</w:t>
            </w:r>
          </w:p>
        </w:tc>
        <w:tc>
          <w:tcPr>
            <w:tcW w:type="dxa" w:w="3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sz w:val="22"/>
                <w:szCs w:val="22"/>
              </w:rPr>
              <w:t xml:space="preserve">Purpose</w:t>
            </w:r>
          </w:p>
        </w:tc>
      </w:tr>
      <w:tr>
        <w:tc>
          <w:tcPr>
            <w:tcW w:type="dxa" w:w="2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MSE Threshold</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95th</w:t>
            </w:r>
          </w:p>
        </w:tc>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0.3446</w:t>
            </w:r>
          </w:p>
        </w:tc>
        <w:tc>
          <w:tcPr>
            <w:tcW w:type="dxa" w:w="3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color w:val="374151"/>
                <w:sz w:val="22"/>
                <w:szCs w:val="22"/>
              </w:rPr>
              <w:t xml:space="preserve">Top 5% reconstruction errors flagged as anomalies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ISO Threshold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3rd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-0.0455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color w:val="374151"/>
                <w:sz w:val="22"/>
                <w:szCs w:val="22"/>
              </w:rPr>
              <w:t xml:space="preserve">Bottom 3% anomaly scores flagged as anomalies</w:t>
            </w:r>
          </w:p>
        </w:tc>
      </w:tr>
    </w:tbl>
    <w:p>
      <w:pPr>
        <w:spacing w:before="160"/>
      </w:pPr>
      <w:r>
        <w:t xml:space="preserve"/>
      </w:r>
    </w:p>
    <w:p>
      <w:pPr>
        <w:spacing w:before="80" w:after="80"/>
      </w:pPr>
      <w:r>
        <w:rPr>
          <w:color w:val="374151"/>
          <w:sz w:val="22"/>
          <w:szCs w:val="22"/>
        </w:rPr>
        <w:t xml:space="preserve">Thresholds are tuned to maximize recall (primary optimization target). Conservative thresholds ensure we do not miss fraud cases. They can be adjusted dynamically based on business risk appetite without retraining the model.</w:t>
      </w:r>
    </w:p>
    <w:p>
      <w:pPr>
        <w:spacing w:before="160"/>
      </w:pPr>
      <w:r>
        <w:t xml:space="preserve"/>
      </w:r>
    </w:p>
    <w:p>
      <w:pPr>
        <w:spacing w:before="280" w:after="120"/>
      </w:pPr>
      <w:r>
        <w:rPr>
          <w:b/>
          <w:bCs/>
          <w:color w:val="2E75B6"/>
          <w:sz w:val="26"/>
          <w:szCs w:val="26"/>
        </w:rPr>
        <w:t xml:space="preserve">8.3 Optimization Target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Borders>
              <w:top w:val="single" w:color="2E75B6" w:sz="4"/>
              <w:left w:val="single" w:color="2E75B6" w:sz="4"/>
              <w:bottom w:val="single" w:color="2E75B6" w:sz="4"/>
              <w:right w:val="single" w:color="2E75B6" w:sz="4"/>
            </w:tcBorders>
            <w:shd w:fill="EBF3FB" w:val="clear"/>
            <w:tcMar>
              <w:top w:type="dxa" w:w="180"/>
              <w:left w:type="dxa" w:w="280"/>
              <w:bottom w:type="dxa" w:w="180"/>
              <w:right w:type="dxa" w:w="280"/>
            </w:tcMar>
          </w:tcPr>
          <w:p>
            <w:pPr>
              <w:spacing w:before="60" w:after="60"/>
            </w:pPr>
            <w:r>
              <w:rPr>
                <w:b/>
                <w:bCs/>
                <w:color w:val="1E3A5F"/>
                <w:sz w:val="22"/>
                <w:szCs w:val="22"/>
              </w:rPr>
              <w:t xml:space="preserve">Primary Metric: recall_fraud</w:t>
            </w:r>
          </w:p>
          <w:p>
            <w:pPr>
              <w:spacing w:before="60" w:after="60"/>
            </w:pPr>
            <w:r>
              <w:rPr>
                <w:color w:val="374151"/>
                <w:sz w:val="22"/>
                <w:szCs w:val="22"/>
              </w:rPr>
              <w:t xml:space="preserve">Accuracy is misleading in imbalanced datasets (99.8% of data is non-fraud). F1-Score balances precision and recall, but in fraud detection, recall matters more. The business goal is to catch as many fraudsters as possible, even if it means extra reviews.</w:t>
            </w:r>
          </w:p>
        </w:tc>
      </w:tr>
    </w:tbl>
    <w:p>
      <w:r>
        <w:br/>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Borders>
              <w:top w:val="none"/>
              <w:left w:val="none"/>
              <w:bottom w:val="none"/>
              <w:right w:val="none"/>
            </w:tcBorders>
            <w:shd w:fill="1E3A5F" w:val="clear"/>
            <w:tcMar>
              <w:top w:type="dxa" w:w="160"/>
              <w:left w:type="dxa" w:w="280"/>
              <w:bottom w:type="dxa" w:w="160"/>
              <w:right w:type="dxa" w:w="280"/>
            </w:tcMar>
          </w:tcPr>
          <w:p>
            <w:pPr>
              <w:jc w:val="left"/>
            </w:pPr>
            <w:r>
              <w:rPr>
                <w:sz w:val="28"/>
                <w:szCs w:val="28"/>
              </w:rPr>
              <w:t xml:space="preserve">💼  </w:t>
            </w:r>
            <w:r>
              <w:rPr>
                <w:color w:val="B3D4F0"/>
                <w:sz w:val="28"/>
                <w:szCs w:val="28"/>
              </w:rPr>
              <w:t xml:space="preserve">Module 09  —  </w:t>
            </w:r>
            <w:r>
              <w:rPr>
                <w:b/>
                <w:bCs/>
                <w:color w:val="FFFFFF"/>
                <w:sz w:val="28"/>
                <w:szCs w:val="28"/>
              </w:rPr>
              <w:t xml:space="preserve">Business Recommendations</w:t>
            </w:r>
          </w:p>
        </w:tc>
      </w:tr>
    </w:tbl>
    <w:p>
      <w:pPr>
        <w:spacing w:before="200"/>
      </w:pPr>
      <w:r>
        <w:t xml:space="preserve"/>
      </w:r>
    </w:p>
    <w:p>
      <w:pPr>
        <w:spacing w:before="280" w:after="120"/>
      </w:pPr>
      <w:r>
        <w:rPr>
          <w:b/>
          <w:bCs/>
          <w:color w:val="2E75B6"/>
          <w:sz w:val="26"/>
          <w:szCs w:val="26"/>
        </w:rPr>
        <w:t xml:space="preserve">Recommendation 1 — Dynamic Thresholding Dashboard</w:t>
      </w:r>
    </w:p>
    <w:p>
      <w:pPr>
        <w:spacing w:before="80" w:after="80"/>
      </w:pPr>
      <w:r>
        <w:rPr>
          <w:color w:val="374151"/>
          <w:sz w:val="22"/>
          <w:szCs w:val="22"/>
        </w:rPr>
        <w:t xml:space="preserve">Build an admin dashboard where business analysts can adjust mse_threshold and iso_threshold in real-time without retraining the model. During high-risk periods such as Black Friday, thresholds can be temporarily lowered to increase sensitivity, then reverted to normal settings afterward.</w:t>
      </w:r>
    </w:p>
    <w:p>
      <w:pPr>
        <w:spacing w:before="160"/>
      </w:pPr>
      <w:r>
        <w:t xml:space="preserve"/>
      </w:r>
    </w:p>
    <w:p>
      <w:pPr>
        <w:spacing w:before="280" w:after="120"/>
      </w:pPr>
      <w:r>
        <w:rPr>
          <w:b/>
          <w:bCs/>
          <w:color w:val="2E75B6"/>
          <w:sz w:val="26"/>
          <w:szCs w:val="26"/>
        </w:rPr>
        <w:t xml:space="preserve">Recommendation 2 — Real-Time Feature Engineering</w:t>
      </w:r>
    </w:p>
    <w:p>
      <w:pPr>
        <w:spacing w:before="80" w:after="80"/>
      </w:pPr>
      <w:r>
        <w:rPr>
          <w:color w:val="374151"/>
          <w:sz w:val="22"/>
          <w:szCs w:val="22"/>
        </w:rPr>
        <w:t xml:space="preserve">Ensure the API can transform raw transaction data into PCA-compatible format in under 50ms. Pre-compute feature transformations in the database layer and use caching for frequently accessed customer profiles to maintain sub-second response time during checkout.</w:t>
      </w:r>
    </w:p>
    <w:p>
      <w:pPr>
        <w:spacing w:before="160"/>
      </w:pPr>
      <w:r>
        <w:t xml:space="preserve"/>
      </w:r>
    </w:p>
    <w:p>
      <w:pPr>
        <w:spacing w:before="280" w:after="120"/>
      </w:pPr>
      <w:r>
        <w:rPr>
          <w:b/>
          <w:bCs/>
          <w:color w:val="2E75B6"/>
          <w:sz w:val="26"/>
          <w:szCs w:val="26"/>
        </w:rPr>
        <w:t xml:space="preserve">Recommendation 3 — Human-in-the-Loop Feedback</w:t>
      </w:r>
    </w:p>
    <w:p>
      <w:pPr>
        <w:spacing w:before="80" w:after="80"/>
      </w:pPr>
      <w:r>
        <w:rPr>
          <w:color w:val="374151"/>
          <w:sz w:val="22"/>
          <w:szCs w:val="22"/>
        </w:rPr>
        <w:t xml:space="preserve">Add a Dispute button in the fraud review dashboard where analysts can mark false positives. These corrections are stored as training data for the next model version, enabling continuous learning. This approach can reduce the false positive rate by 10–15% within 6 months.</w:t>
      </w:r>
    </w:p>
    <w:p>
      <w:pPr>
        <w:spacing w:before="160"/>
      </w:pPr>
      <w:r>
        <w:t xml:space="preserve"/>
      </w:r>
    </w:p>
    <w:p>
      <w:pPr>
        <w:spacing w:before="280" w:after="120"/>
      </w:pPr>
      <w:r>
        <w:rPr>
          <w:b/>
          <w:bCs/>
          <w:color w:val="2E75B6"/>
          <w:sz w:val="26"/>
          <w:szCs w:val="26"/>
        </w:rPr>
        <w:t xml:space="preserve">Recommendation 4 — A/B Testing for Model Versions</w:t>
      </w:r>
    </w:p>
    <w:p>
      <w:pPr>
        <w:spacing w:before="80" w:after="80"/>
      </w:pPr>
      <w:r>
        <w:rPr>
          <w:color w:val="374151"/>
          <w:sz w:val="22"/>
          <w:szCs w:val="22"/>
        </w:rPr>
        <w:t xml:space="preserve">Use MLflow's model registry to run champion vs. challenger tests: route 90% of traffic to the current production model and 10% to a new candidate model. Compare performance metrics over 2 weeks before full rollout to ensure risk-free, data-driven model updates.</w:t>
      </w:r>
    </w:p>
    <w:p>
      <w:pPr>
        <w:spacing w:before="160"/>
      </w:pPr>
      <w:r>
        <w:t xml:space="preserve"/>
      </w:r>
    </w:p>
    <w:p>
      <w:pPr>
        <w:spacing w:before="280" w:after="120"/>
      </w:pPr>
      <w:r>
        <w:rPr>
          <w:b/>
          <w:bCs/>
          <w:color w:val="2E75B6"/>
          <w:sz w:val="26"/>
          <w:szCs w:val="26"/>
        </w:rPr>
        <w:t xml:space="preserve">Recommendation 5 — Drift Detection &amp; Auto-Retraining</w:t>
      </w:r>
    </w:p>
    <w:p>
      <w:pPr>
        <w:spacing w:before="80" w:after="80"/>
      </w:pPr>
      <w:r>
        <w:rPr>
          <w:color w:val="374151"/>
          <w:sz w:val="22"/>
          <w:szCs w:val="22"/>
        </w:rPr>
        <w:t xml:space="preserve">Monitor mean_iso_score and mse_threshold distributions weekly. If production data deviates more than 20% from training distribution, trigger an alert. Automatically retrain the model on recent data monthly to maintain 80%+ recall over time as fraud patterns evolve.</w:t>
      </w:r>
    </w:p>
    <w:p>
      <w:pPr>
        <w:spacing w:before="160"/>
      </w:pPr>
      <w:r>
        <w:t xml:space="preserve"/>
      </w:r>
    </w:p>
    <w:p>
      <w:pPr>
        <w:spacing w:before="280" w:after="120"/>
      </w:pPr>
      <w:r>
        <w:rPr>
          <w:b/>
          <w:bCs/>
          <w:color w:val="2E75B6"/>
          <w:sz w:val="26"/>
          <w:szCs w:val="26"/>
        </w:rPr>
        <w:t xml:space="preserve">Recommendation 6 — Multi-Region Deployment</w:t>
      </w:r>
    </w:p>
    <w:p>
      <w:pPr>
        <w:spacing w:before="80" w:after="80"/>
      </w:pPr>
      <w:r>
        <w:rPr>
          <w:color w:val="374151"/>
          <w:sz w:val="22"/>
          <w:szCs w:val="22"/>
        </w:rPr>
        <w:t xml:space="preserve">For global banks, deploy separate models for different regions. Fraud patterns vary by geography and culture — European fraud often involves card-not-present e-commerce while Asian fraud leans toward ATM skimming. Region-specific models achieve 5–10% higher recall than a single global model.</w:t>
      </w:r>
    </w:p>
    <w:p>
      <w:r>
        <w:br/>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Borders>
              <w:top w:val="none"/>
              <w:left w:val="none"/>
              <w:bottom w:val="none"/>
              <w:right w:val="none"/>
            </w:tcBorders>
            <w:shd w:fill="1E3A5F" w:val="clear"/>
            <w:tcMar>
              <w:top w:type="dxa" w:w="160"/>
              <w:left w:type="dxa" w:w="280"/>
              <w:bottom w:type="dxa" w:w="160"/>
              <w:right w:type="dxa" w:w="280"/>
            </w:tcMar>
          </w:tcPr>
          <w:p>
            <w:pPr>
              <w:jc w:val="left"/>
            </w:pPr>
            <w:r>
              <w:rPr>
                <w:sz w:val="28"/>
                <w:szCs w:val="28"/>
              </w:rPr>
              <w:t xml:space="preserve">🏆  </w:t>
            </w:r>
            <w:r>
              <w:rPr>
                <w:color w:val="B3D4F0"/>
                <w:sz w:val="28"/>
                <w:szCs w:val="28"/>
              </w:rPr>
              <w:t xml:space="preserve">Module 10  —  </w:t>
            </w:r>
            <w:r>
              <w:rPr>
                <w:b/>
                <w:bCs/>
                <w:color w:val="FFFFFF"/>
                <w:sz w:val="28"/>
                <w:szCs w:val="28"/>
              </w:rPr>
              <w:t xml:space="preserve">Key Takeaways &amp; Conclusion</w:t>
            </w:r>
          </w:p>
        </w:tc>
      </w:tr>
    </w:tbl>
    <w:p>
      <w:pPr>
        <w:spacing w:before="200"/>
      </w:pPr>
      <w:r>
        <w:t xml:space="preserve"/>
      </w:r>
    </w:p>
    <w:p>
      <w:pPr>
        <w:spacing w:before="280" w:after="120"/>
      </w:pPr>
      <w:r>
        <w:rPr>
          <w:b/>
          <w:bCs/>
          <w:color w:val="2E75B6"/>
          <w:sz w:val="26"/>
          <w:szCs w:val="26"/>
        </w:rPr>
        <w:t xml:space="preserve">For Technical Teams</w:t>
      </w:r>
    </w:p>
    <w:p>
      <w:pPr>
        <w:pStyle w:val="ListParagraph"/>
        <w:numPr>
          <w:ilvl w:val="0"/>
          <w:numId w:val="2"/>
        </w:numPr>
        <w:spacing w:before="60" w:after="60"/>
      </w:pPr>
      <w:r>
        <w:rPr>
          <w:b/>
          <w:bCs/>
          <w:color w:val="2E75B6"/>
          <w:sz w:val="22"/>
          <w:szCs w:val="22"/>
        </w:rPr>
        <w:t xml:space="preserve">Hybrid Models Win: </w:t>
      </w:r>
      <w:r>
        <w:rPr>
          <w:color w:val="374151"/>
          <w:sz w:val="22"/>
          <w:szCs w:val="22"/>
        </w:rPr>
        <w:t xml:space="preserve">Combining Autoencoder and Isolation Forest outperforms any single-algorithm approach in fraud detection.</w:t>
      </w:r>
    </w:p>
    <w:p>
      <w:pPr>
        <w:pStyle w:val="ListParagraph"/>
        <w:numPr>
          <w:ilvl w:val="0"/>
          <w:numId w:val="2"/>
        </w:numPr>
        <w:spacing w:before="60" w:after="60"/>
      </w:pPr>
      <w:r>
        <w:rPr>
          <w:b/>
          <w:bCs/>
          <w:color w:val="2E75B6"/>
          <w:sz w:val="22"/>
          <w:szCs w:val="22"/>
        </w:rPr>
        <w:t xml:space="preserve">Latent Space Power: </w:t>
      </w:r>
      <w:r>
        <w:rPr>
          <w:color w:val="374151"/>
          <w:sz w:val="22"/>
          <w:szCs w:val="22"/>
        </w:rPr>
        <w:t xml:space="preserve">Compressing 30 features to 10 dimensions accelerates inference without sacrificing detection accuracy.</w:t>
      </w:r>
    </w:p>
    <w:p>
      <w:pPr>
        <w:pStyle w:val="ListParagraph"/>
        <w:numPr>
          <w:ilvl w:val="0"/>
          <w:numId w:val="2"/>
        </w:numPr>
        <w:spacing w:before="60" w:after="60"/>
      </w:pPr>
      <w:r>
        <w:rPr>
          <w:b/>
          <w:bCs/>
          <w:color w:val="2E75B6"/>
          <w:sz w:val="22"/>
          <w:szCs w:val="22"/>
        </w:rPr>
        <w:t xml:space="preserve">MLOps is Non-Negotiable: </w:t>
      </w:r>
      <w:r>
        <w:rPr>
          <w:color w:val="374151"/>
          <w:sz w:val="22"/>
          <w:szCs w:val="22"/>
        </w:rPr>
        <w:t xml:space="preserve">Production ML systems require robust infrastructure for versioning, quality gates, and continuous monitoring.</w:t>
      </w:r>
    </w:p>
    <w:p>
      <w:pPr>
        <w:pStyle w:val="ListParagraph"/>
        <w:numPr>
          <w:ilvl w:val="0"/>
          <w:numId w:val="2"/>
        </w:numPr>
        <w:spacing w:before="60" w:after="60"/>
      </w:pPr>
      <w:r>
        <w:rPr>
          <w:b/>
          <w:bCs/>
          <w:color w:val="2E75B6"/>
          <w:sz w:val="22"/>
          <w:szCs w:val="22"/>
        </w:rPr>
        <w:t xml:space="preserve">Unsupervised is Essential: </w:t>
      </w:r>
      <w:r>
        <w:rPr>
          <w:color w:val="374151"/>
          <w:sz w:val="22"/>
          <w:szCs w:val="22"/>
        </w:rPr>
        <w:t xml:space="preserve">When labeled fraud data is scarce or outdated, unsupervised learning enables detection of truly unknown threats.</w:t>
      </w:r>
    </w:p>
    <w:p>
      <w:pPr>
        <w:spacing w:before="160"/>
      </w:pPr>
      <w:r>
        <w:t xml:space="preserve"/>
      </w:r>
    </w:p>
    <w:p>
      <w:pPr>
        <w:spacing w:before="280" w:after="120"/>
      </w:pPr>
      <w:r>
        <w:rPr>
          <w:b/>
          <w:bCs/>
          <w:color w:val="2E75B6"/>
          <w:sz w:val="26"/>
          <w:szCs w:val="26"/>
        </w:rPr>
        <w:t xml:space="preserve">For Business Leaders</w:t>
      </w:r>
    </w:p>
    <w:p>
      <w:pPr>
        <w:pStyle w:val="ListParagraph"/>
        <w:numPr>
          <w:ilvl w:val="0"/>
          <w:numId w:val="2"/>
        </w:numPr>
        <w:spacing w:before="60" w:after="60"/>
      </w:pPr>
      <w:r>
        <w:rPr>
          <w:b/>
          <w:bCs/>
          <w:color w:val="2E75B6"/>
          <w:sz w:val="22"/>
          <w:szCs w:val="22"/>
        </w:rPr>
        <w:t xml:space="preserve">Financial Impact: </w:t>
      </w:r>
      <w:r>
        <w:rPr>
          <w:color w:val="374151"/>
          <w:sz w:val="22"/>
          <w:szCs w:val="22"/>
        </w:rPr>
        <w:t xml:space="preserve">An 83% fraud detection rate translates to millions in saved losses annually — with no noticeable checkout delay.</w:t>
      </w:r>
    </w:p>
    <w:p>
      <w:pPr>
        <w:pStyle w:val="ListParagraph"/>
        <w:numPr>
          <w:ilvl w:val="0"/>
          <w:numId w:val="2"/>
        </w:numPr>
        <w:spacing w:before="60" w:after="60"/>
      </w:pPr>
      <w:r>
        <w:rPr>
          <w:b/>
          <w:bCs/>
          <w:color w:val="2E75B6"/>
          <w:sz w:val="22"/>
          <w:szCs w:val="22"/>
        </w:rPr>
        <w:t xml:space="preserve">Customer Experience: </w:t>
      </w:r>
      <w:r>
        <w:rPr>
          <w:color w:val="374151"/>
          <w:sz w:val="22"/>
          <w:szCs w:val="22"/>
        </w:rPr>
        <w:t xml:space="preserve">Real-time decisioning with millisecond latency maintains seamless payment approvals for legitimate customers.</w:t>
      </w:r>
    </w:p>
    <w:p>
      <w:pPr>
        <w:pStyle w:val="ListParagraph"/>
        <w:numPr>
          <w:ilvl w:val="0"/>
          <w:numId w:val="2"/>
        </w:numPr>
        <w:spacing w:before="60" w:after="60"/>
      </w:pPr>
      <w:r>
        <w:rPr>
          <w:b/>
          <w:bCs/>
          <w:color w:val="2E75B6"/>
          <w:sz w:val="22"/>
          <w:szCs w:val="22"/>
        </w:rPr>
        <w:t xml:space="preserve">Continuous Reliability: </w:t>
      </w:r>
      <w:r>
        <w:rPr>
          <w:color w:val="374151"/>
          <w:sz w:val="22"/>
          <w:szCs w:val="22"/>
        </w:rPr>
        <w:t xml:space="preserve">Automated quality gates ensure only reliable models reach production, maintaining service level agreements.</w:t>
      </w:r>
    </w:p>
    <w:p>
      <w:pPr>
        <w:pStyle w:val="ListParagraph"/>
        <w:numPr>
          <w:ilvl w:val="0"/>
          <w:numId w:val="2"/>
        </w:numPr>
        <w:spacing w:before="60" w:after="60"/>
      </w:pPr>
      <w:r>
        <w:rPr>
          <w:b/>
          <w:bCs/>
          <w:color w:val="2E75B6"/>
          <w:sz w:val="22"/>
          <w:szCs w:val="22"/>
        </w:rPr>
        <w:t xml:space="preserve">Stakeholder Trust: </w:t>
      </w:r>
      <w:r>
        <w:rPr>
          <w:color w:val="374151"/>
          <w:sz w:val="22"/>
          <w:szCs w:val="22"/>
        </w:rPr>
        <w:t xml:space="preserve">The dual-model architecture provides explainability — each flagged transaction has two independent reasons.</w:t>
      </w:r>
    </w:p>
    <w:p>
      <w:pPr>
        <w:spacing w:before="200"/>
      </w:pPr>
      <w:r>
        <w:t xml:space="preserve"/>
      </w:r>
    </w:p>
    <w:p>
      <w:pPr>
        <w:spacing w:before="280" w:after="120"/>
      </w:pPr>
      <w:r>
        <w:rPr>
          <w:b/>
          <w:bCs/>
          <w:color w:val="2E75B6"/>
          <w:sz w:val="26"/>
          <w:szCs w:val="26"/>
        </w:rPr>
        <w:t xml:space="preserve">Conclusion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Borders>
              <w:top w:val="none" w:sz="0"/>
              <w:left w:val="none" w:sz="0"/>
              <w:bottom w:val="none" w:sz="0"/>
              <w:right w:val="none" w:sz="0"/>
            </w:tcBorders>
            <w:shd w:fill="1E3A5F" w:val="clear"/>
            <w:tcMar>
              <w:top w:type="dxa" w:w="200"/>
              <w:left w:type="dxa" w:w="280"/>
              <w:bottom w:type="dxa" w:w="200"/>
              <w:right w:type="dxa" w:w="280"/>
            </w:tcMar>
          </w:tcPr>
          <w:p>
            <w:pPr>
              <w:spacing w:before="80" w:after="80"/>
              <w:jc w:val="left"/>
            </w:pPr>
            <w:r>
              <w:rPr>
                <w:i/>
                <w:iCs/>
                <w:color w:val="FFFFFF"/>
                <w:sz w:val="22"/>
                <w:szCs w:val="22"/>
              </w:rPr>
              <w:t xml:space="preserve">This project demonstrates a production-grade fraud detection system that balances technical sophistication with business pragmatism. By combining the behavioral insights of Autoencoders with the geometric precision of Isolation Forests, we have created a proactive defense system that does not just react to known fraud patterns — it anticipates the unknown. The MLOps infrastructure ensures this is not a one-time science project, but a living, evolving system that adapts to the ever-changing landscape of financial crime. In the arms race between banks and fraudsters, this hybrid system gives us the upper hand. 🛡️</w:t>
            </w:r>
          </w:p>
        </w:tc>
      </w:tr>
    </w:tbl>
    <w:p>
      <w:pPr>
        <w:spacing w:before="300"/>
      </w:pPr>
      <w:r>
        <w:t xml:space="preserve"/>
      </w:r>
    </w:p>
    <w:p>
      <w:pPr>
        <w:spacing w:before="200"/>
        <w:jc w:val="center"/>
      </w:pPr>
      <w:r>
        <w:rPr>
          <w:sz w:val="22"/>
          <w:szCs w:val="22"/>
        </w:rPr>
        <w:t xml:space="preserve">🛡️  </w:t>
      </w:r>
      <w:r>
        <w:rPr>
          <w:color w:val="374151"/>
          <w:sz w:val="20"/>
          <w:szCs w:val="20"/>
        </w:rPr>
        <w:t xml:space="preserve">Project: Deep-Hybrid Fraud Detection  |  Architecture: AE + ISO  |  Recall: 83.33%  |  Accuracy: 93.59%</w:t>
      </w:r>
    </w:p>
    <w:sectPr>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ListParagraph">
    <w:name w:val="List Paragraph"/>
    <w:basedOn w:val="Normal"/>
    <w:pPr>
      <w:ind w:left="720" w:hanging="360"/>
    </w:pPr>
    <w:rPr>
      <w:rFonts w:ascii="Arial" w:cs="Arial" w:eastAsia="Arial" w:hAnsi="Arial"/>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2026-03-30T23:31:54.934Z</dcterms:created>
  <dcterms:modified xsi:type="dcterms:W3CDTF">2026-03-30T23:31:54.935Z</dcterms:modified>
</cp:coreProperties>
</file>

<file path=docProps/custom.xml><?xml version="1.0" encoding="utf-8"?>
<Properties xmlns="http://schemas.openxmlformats.org/officeDocument/2006/custom-properties" xmlns:vt="http://schemas.openxmlformats.org/officeDocument/2006/docPropsVTypes"/>
</file>