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UNIVERSIDAD ANTONIO JOSÉ CAMACHO — UNIAJC</w:t>
      </w:r>
    </w:p>
    <w:p>
      <w:pPr>
        <w:spacing w:after="300"/>
        <w:jc w:val="center"/>
      </w:pPr>
      <w:r>
        <w:rPr>
          <w:sz w:val="20"/>
          <w:szCs w:val="20"/>
        </w:rPr>
        <w:t xml:space="preserve">Facultad de Ingeniería — Programa de Ingeniería de Sistemas</w:t>
      </w:r>
    </w:p>
    <w:p>
      <w:pPr>
        <w:pStyle w:val="Title"/>
        <w:spacing w:after="100"/>
        <w:jc w:val="center"/>
      </w:pPr>
      <w:r>
        <w:rPr>
          <w:b/>
          <w:bCs/>
          <w:color w:val="2C3E50"/>
          <w:sz w:val="32"/>
          <w:szCs w:val="32"/>
        </w:rPr>
        <w:t xml:space="preserve">Arquitectura de Microservicios de la EPS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Rama: desarrollo  ·  Carpeta: Docs/  ·  Repositorio: evaluacionGit</w:t>
      </w:r>
    </w:p>
    <w:p>
      <w:pPr>
        <w:pStyle w:val="Heading1"/>
        <w:spacing w:after="150" w:before="200"/>
      </w:pPr>
      <w:r>
        <w:t xml:space="preserve">1. Contexto</w:t>
      </w:r>
    </w:p>
    <w:p>
      <w:pPr>
        <w:spacing w:after="200"/>
      </w:pPr>
      <w:r>
        <w:rPr>
          <w:sz w:val="22"/>
          <w:szCs w:val="22"/>
        </w:rPr>
        <w:t xml:space="preserve">El sistema de información de la EPS se diseña bajo una arquitectura de microservicios: cada capacidad de negocio (autenticación, afiliados, citas médicas, historia clínica, autorizaciones, facturación, farmacia y notificaciones) se implementa como un servicio independiente, con su propia base de datos y ciclo de despliegue. Esto permite escalar, desplegar y mantener cada dominio por separado, sin afectar a los demás.</w:t>
      </w:r>
    </w:p>
    <w:p>
      <w:pPr>
        <w:pStyle w:val="Heading1"/>
        <w:spacing w:after="150" w:before="200"/>
      </w:pPr>
      <w:r>
        <w:t xml:space="preserve">2. Diagrama de arquitectura</w:t>
      </w:r>
    </w:p>
    <w:p>
      <w:pPr>
        <w:spacing w:after="100"/>
        <w:jc w:val="center"/>
      </w:pPr>
      <w:r>
        <w:drawing>
          <wp:inline distT="0" distB="0" distL="0" distR="0">
            <wp:extent cx="59055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Figura 1. Arquitectura de microservicios de la EPS.</w:t>
      </w:r>
    </w:p>
    <w:p>
      <w:pPr>
        <w:pStyle w:val="Heading1"/>
        <w:spacing w:after="150" w:before="200"/>
      </w:pPr>
      <w:r>
        <w:t xml:space="preserve">3. Capas de la arquitectura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56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Portal web y app móvil desde donde los afiliados y el personal médico interactúan con el sistema.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Punto único de entrada. Enruta cada petición al microservicio correspondiente, valida el token de autenticación y aplica límites de tasa (rate-limiting).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Microservicios de dominio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uno implementa una responsabilidad de negocio concreta y expone su propia API. Se comunican con el Gateway de forma síncrona (REST) y entre sí de forma asíncrona a través del bus de mensajería.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Bases de datos por servicio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microservicio administra su propia base de datos (patrón Database per Service), evitando el acoplamiento directo entre esquemas de datos.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 de mensajería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Canal de eventos asíncronos usado, por ejemplo, para que Citas, Autorizaciones y Facturación notifiquen eventos que el microservicio de Notificaciones debe procesar (confirmaciones, recordatorios, alertas).</w:t>
            </w:r>
          </w:p>
        </w:tc>
      </w:tr>
    </w:tbl>
    <w:p>
      <w:pPr>
        <w:pStyle w:val="Heading1"/>
        <w:spacing w:after="150" w:before="300"/>
      </w:pPr>
      <w:r>
        <w:t xml:space="preserve">4. Detalle de los microservicios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Microservicio</w:t>
            </w:r>
          </w:p>
        </w:tc>
        <w:tc>
          <w:tcPr>
            <w:tcW w:type="dxa" w:w="656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ms-autenticacion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Login, gestión de roles (paciente, médico, administrador) y emisión/validación de tokens JWT.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ms-afiliados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 y consulta de los usuarios afiliados a la EPS: datos personales, tipo de afiliación, estado.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ms-citas-medicas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 médica: creación, reprogramación, cancelación y verificación de disponibilidad de citas.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ms-historia-clinica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Historia clínica electrónica: diagnósticos, evolución y antecedentes de cada paciente.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ms-autorizaciones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Autorización de procedimientos médicos y remisiones a especialistas.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ms-facturacion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Facturación, pagos, copagos y cuotas moderadoras de los servicios prestados.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ms-farmacia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Dispensación de medicamentos formulados a los afiliados.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ms-notificaciones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Envío de notificaciones (email, SMS, push) a partir de eventos del bus de mensajería.</w:t>
            </w:r>
          </w:p>
        </w:tc>
      </w:tr>
    </w:tbl>
    <w:p>
      <w:pPr>
        <w:pStyle w:val="Heading1"/>
        <w:spacing w:after="150" w:before="300"/>
      </w:pPr>
      <w:r>
        <w:t xml:space="preserve">5. Flujo de comunicación</w:t>
      </w:r>
    </w:p>
    <w:p>
      <w:pPr>
        <w:spacing w:after="100"/>
      </w:pPr>
      <w:r>
        <w:rPr>
          <w:sz w:val="22"/>
          <w:szCs w:val="22"/>
        </w:rPr>
        <w:t xml:space="preserve">• El cliente (web/app) envía todas sus peticiones al API Gateway, nunca directamente a un microservicio.</w:t>
      </w:r>
    </w:p>
    <w:p>
      <w:pPr>
        <w:spacing w:after="100"/>
      </w:pPr>
      <w:r>
        <w:rPr>
          <w:sz w:val="22"/>
          <w:szCs w:val="22"/>
        </w:rPr>
        <w:t xml:space="preserve">• El Gateway valida el token emitido por ms-autenticacion y enruta la petición (comunicación síncrona vía REST).</w:t>
      </w:r>
    </w:p>
    <w:p>
      <w:pPr>
        <w:spacing w:after="100"/>
      </w:pPr>
      <w:r>
        <w:rPr>
          <w:sz w:val="22"/>
          <w:szCs w:val="22"/>
        </w:rPr>
        <w:t xml:space="preserve">• ms-citas-medicas, ms-autorizaciones y ms-facturacion publican eventos en el bus de mensajería cuando ocurre un hecho relevante (cita confirmada, autorización aprobada, pago registrado).</w:t>
      </w:r>
    </w:p>
    <w:p>
      <w:pPr>
        <w:spacing w:after="300"/>
      </w:pPr>
      <w:r>
        <w:rPr>
          <w:sz w:val="22"/>
          <w:szCs w:val="22"/>
        </w:rPr>
        <w:t xml:space="preserve">• ms-notificaciones consume esos eventos de forma asíncrona y envía la comunicación al afiliado (email, SMS o push), desacoplando la notificación del proceso principal.</w:t>
      </w:r>
    </w:p>
    <w:p>
      <w:pPr>
        <w:spacing w:before="400"/>
      </w:pPr>
      <w:r>
        <w:rPr>
          <w:color w:val="777777"/>
          <w:sz w:val="18"/>
          <w:szCs w:val="18"/>
        </w:rPr>
        <w:t xml:space="preserve">César Yovany Rua Quiñones  ·  GitHub: YOVANI2005  ·  Ingeniería de Software III  ·  2026-2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88a7f59eada786f0955b0927bffc0be3d682c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2026-09-22T02:36:41.229Z</dcterms:created>
  <dcterms:modified xsi:type="dcterms:W3CDTF">2026-09-22T02:36:41.229Z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