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2"/>
          <w:szCs w:val="22"/>
        </w:rPr>
        <w:t xml:space="preserve">UNIVERSIDAD ANTONIO JOSÉ CAMACHO — UNIAJC</w:t>
      </w:r>
    </w:p>
    <w:p>
      <w:pPr>
        <w:spacing w:after="300"/>
        <w:jc w:val="center"/>
      </w:pPr>
      <w:r>
        <w:rPr>
          <w:sz w:val="20"/>
          <w:szCs w:val="20"/>
        </w:rPr>
        <w:t xml:space="preserve">Facultad de Ingeniería — Programa de Ingeniería de Sistemas</w:t>
      </w:r>
    </w:p>
    <w:p>
      <w:pPr>
        <w:pStyle w:val="Title"/>
        <w:spacing w:after="100"/>
        <w:jc w:val="center"/>
      </w:pPr>
      <w:r>
        <w:rPr>
          <w:b/>
          <w:bCs/>
          <w:color w:val="2C3E50"/>
          <w:sz w:val="32"/>
          <w:szCs w:val="32"/>
        </w:rPr>
        <w:t xml:space="preserve">Estructura de Microservicios de la EPS</w:t>
      </w:r>
    </w:p>
    <w:p>
      <w:pPr>
        <w:spacing w:after="400"/>
        <w:jc w:val="center"/>
      </w:pPr>
      <w:r>
        <w:rPr>
          <w:i/>
          <w:iCs/>
          <w:color w:val="555555"/>
          <w:sz w:val="20"/>
          <w:szCs w:val="20"/>
        </w:rPr>
        <w:t xml:space="preserve">Rama: main  ·  Repositorio: evaluacionGit</w:t>
      </w:r>
    </w:p>
    <w:p>
      <w:pPr>
        <w:pStyle w:val="Heading1"/>
        <w:spacing w:after="150" w:before="200"/>
      </w:pPr>
      <w:r>
        <w:t xml:space="preserve">1. Propósito del documento</w:t>
      </w:r>
    </w:p>
    <w:p>
      <w:pPr>
        <w:spacing w:after="200"/>
      </w:pPr>
      <w:r>
        <w:rPr>
          <w:sz w:val="22"/>
          <w:szCs w:val="22"/>
        </w:rPr>
        <w:t xml:space="preserve">Este documento describe el esqueleto base del proyecto de microservicios para una Entidad Promotora de Salud (EPS), tal como se organiza en la rama main del repositorio evaluacionGit. En esta rama solo se incluye la estructura de carpetas (sin implementación de código), como punto de partida común para las demás ramas del proyecto.</w:t>
      </w:r>
    </w:p>
    <w:p>
      <w:pPr>
        <w:pStyle w:val="Heading1"/>
        <w:spacing w:after="150" w:before="200"/>
      </w:pPr>
      <w:r>
        <w:t xml:space="preserve">2. Organización general</w:t>
      </w:r>
    </w:p>
    <w:p>
      <w:pPr>
        <w:spacing w:after="200"/>
      </w:pPr>
      <w:r>
        <w:rPr>
          <w:sz w:val="22"/>
          <w:szCs w:val="22"/>
        </w:rPr>
        <w:t xml:space="preserve">Todos los microservicios se agrupan dentro de la carpeta eps-microservicios/. Cada carpeta representa un servicio independiente y contiene, por ahora, un único archivo de marcador (app.txt) que documenta su responsabilidad — esto evita que Git ignore la carpeta al estar vacía, y sirve como base para la futura implementación del código.</w:t>
      </w:r>
    </w:p>
    <w:p>
      <w:pPr>
        <w:pStyle w:val="Heading1"/>
        <w:spacing w:after="150" w:before="200"/>
      </w:pPr>
      <w:r>
        <w:t xml:space="preserve">3. Microservicios definidos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shd w:fill="2C3E50" w:val="clear"/>
          </w:tcPr>
          <w:p>
            <w:r>
              <w:rPr>
                <w:b/>
                <w:bCs/>
                <w:color w:val="FFFFFF"/>
                <w:sz w:val="20"/>
                <w:szCs w:val="20"/>
              </w:rPr>
              <w:t xml:space="preserve">Carpeta</w:t>
            </w:r>
          </w:p>
        </w:tc>
        <w:tc>
          <w:tcPr>
            <w:tcW w:type="dxa" w:w="6000"/>
            <w:shd w:fill="2C3E50" w:val="clear"/>
          </w:tcPr>
          <w:p>
            <w:r>
              <w:rPr>
                <w:b/>
                <w:bCs/>
                <w:color w:val="FFFFFF"/>
                <w:sz w:val="20"/>
                <w:szCs w:val="20"/>
              </w:rPr>
              <w:t xml:space="preserve">Responsabilidad</w:t>
            </w:r>
          </w:p>
        </w:tc>
      </w:tr>
      <w:tr>
        <w:tc>
          <w:tcPr>
            <w:tcW w:type="dxa" w:w="3360"/>
          </w:tcPr>
          <w:p>
            <w:r>
              <w:rPr>
                <w:b w:val="false"/>
                <w:bCs w:val="false"/>
                <w:color w:val="000000"/>
                <w:sz w:val="20"/>
                <w:szCs w:val="20"/>
              </w:rPr>
              <w:t xml:space="preserve">api-gateway</w:t>
            </w:r>
          </w:p>
        </w:tc>
        <w:tc>
          <w:tcPr>
            <w:tcW w:type="dxa" w:w="6000"/>
          </w:tcPr>
          <w:p>
            <w:r>
              <w:rPr>
                <w:b w:val="false"/>
                <w:bCs w:val="false"/>
                <w:color w:val="000000"/>
                <w:sz w:val="20"/>
                <w:szCs w:val="20"/>
              </w:rPr>
              <w:t xml:space="preserve">Punto de entrada único del sistema. Enruta las peticiones de clientes hacia el microservicio correspondiente, aplica autenticación básica y control de tasa de peticiones.</w:t>
            </w:r>
          </w:p>
        </w:tc>
      </w:tr>
      <w:tr>
        <w:tc>
          <w:tcPr>
            <w:tcW w:type="dxa" w:w="3360"/>
          </w:tcPr>
          <w:p>
            <w:r>
              <w:rPr>
                <w:b w:val="false"/>
                <w:bCs w:val="false"/>
                <w:color w:val="000000"/>
                <w:sz w:val="20"/>
                <w:szCs w:val="20"/>
              </w:rPr>
              <w:t xml:space="preserve">ms-autenticacion</w:t>
            </w:r>
          </w:p>
        </w:tc>
        <w:tc>
          <w:tcPr>
            <w:tcW w:type="dxa" w:w="6000"/>
          </w:tcPr>
          <w:p>
            <w:r>
              <w:rPr>
                <w:b w:val="false"/>
                <w:bCs w:val="false"/>
                <w:color w:val="000000"/>
                <w:sz w:val="20"/>
                <w:szCs w:val="20"/>
              </w:rPr>
              <w:t xml:space="preserve">Gestiona el inicio de sesión, los roles de usuario (paciente, médico, administrador) y la emisión de tokens JWT.</w:t>
            </w:r>
          </w:p>
        </w:tc>
      </w:tr>
      <w:tr>
        <w:tc>
          <w:tcPr>
            <w:tcW w:type="dxa" w:w="3360"/>
          </w:tcPr>
          <w:p>
            <w:r>
              <w:rPr>
                <w:b w:val="false"/>
                <w:bCs w:val="false"/>
                <w:color w:val="000000"/>
                <w:sz w:val="20"/>
                <w:szCs w:val="20"/>
              </w:rPr>
              <w:t xml:space="preserve">ms-afiliados</w:t>
            </w:r>
          </w:p>
        </w:tc>
        <w:tc>
          <w:tcPr>
            <w:tcW w:type="dxa" w:w="6000"/>
          </w:tcPr>
          <w:p>
            <w:r>
              <w:rPr>
                <w:b w:val="false"/>
                <w:bCs w:val="false"/>
                <w:color w:val="000000"/>
                <w:sz w:val="20"/>
                <w:szCs w:val="20"/>
              </w:rPr>
              <w:t xml:space="preserve">Administra el registro y la consulta de los usuarios afiliados a la EPS: datos personales, tipo de afiliación y estado.</w:t>
            </w:r>
          </w:p>
        </w:tc>
      </w:tr>
      <w:tr>
        <w:tc>
          <w:tcPr>
            <w:tcW w:type="dxa" w:w="3360"/>
          </w:tcPr>
          <w:p>
            <w:r>
              <w:rPr>
                <w:b w:val="false"/>
                <w:bCs w:val="false"/>
                <w:color w:val="000000"/>
                <w:sz w:val="20"/>
                <w:szCs w:val="20"/>
              </w:rPr>
              <w:t xml:space="preserve">ms-citas-medicas</w:t>
            </w:r>
          </w:p>
        </w:tc>
        <w:tc>
          <w:tcPr>
            <w:tcW w:type="dxa" w:w="6000"/>
          </w:tcPr>
          <w:p>
            <w:r>
              <w:rPr>
                <w:b w:val="false"/>
                <w:bCs w:val="false"/>
                <w:color w:val="000000"/>
                <w:sz w:val="20"/>
                <w:szCs w:val="20"/>
              </w:rPr>
              <w:t xml:space="preserve">Gestiona la agenda médica: creación, reprogramación, cancelación y consulta de disponibilidad de citas.</w:t>
            </w:r>
          </w:p>
        </w:tc>
      </w:tr>
      <w:tr>
        <w:tc>
          <w:tcPr>
            <w:tcW w:type="dxa" w:w="3360"/>
          </w:tcPr>
          <w:p>
            <w:r>
              <w:rPr>
                <w:b w:val="false"/>
                <w:bCs w:val="false"/>
                <w:color w:val="000000"/>
                <w:sz w:val="20"/>
                <w:szCs w:val="20"/>
              </w:rPr>
              <w:t xml:space="preserve">ms-historia-clinica</w:t>
            </w:r>
          </w:p>
        </w:tc>
        <w:tc>
          <w:tcPr>
            <w:tcW w:type="dxa" w:w="6000"/>
          </w:tcPr>
          <w:p>
            <w:r>
              <w:rPr>
                <w:b w:val="false"/>
                <w:bCs w:val="false"/>
                <w:color w:val="000000"/>
                <w:sz w:val="20"/>
                <w:szCs w:val="20"/>
              </w:rPr>
              <w:t xml:space="preserve">Almacena y expone la historia clínica electrónica: diagnósticos, evolución y antecedentes del paciente.</w:t>
            </w:r>
          </w:p>
        </w:tc>
      </w:tr>
      <w:tr>
        <w:tc>
          <w:tcPr>
            <w:tcW w:type="dxa" w:w="3360"/>
          </w:tcPr>
          <w:p>
            <w:r>
              <w:rPr>
                <w:b w:val="false"/>
                <w:bCs w:val="false"/>
                <w:color w:val="000000"/>
                <w:sz w:val="20"/>
                <w:szCs w:val="20"/>
              </w:rPr>
              <w:t xml:space="preserve">ms-autorizaciones</w:t>
            </w:r>
          </w:p>
        </w:tc>
        <w:tc>
          <w:tcPr>
            <w:tcW w:type="dxa" w:w="6000"/>
          </w:tcPr>
          <w:p>
            <w:r>
              <w:rPr>
                <w:b w:val="false"/>
                <w:bCs w:val="false"/>
                <w:color w:val="000000"/>
                <w:sz w:val="20"/>
                <w:szCs w:val="20"/>
              </w:rPr>
              <w:t xml:space="preserve">Gestiona las autorizaciones de procedimientos médicos y remisiones a especialistas.</w:t>
            </w:r>
          </w:p>
        </w:tc>
      </w:tr>
      <w:tr>
        <w:tc>
          <w:tcPr>
            <w:tcW w:type="dxa" w:w="3360"/>
          </w:tcPr>
          <w:p>
            <w:r>
              <w:rPr>
                <w:b w:val="false"/>
                <w:bCs w:val="false"/>
                <w:color w:val="000000"/>
                <w:sz w:val="20"/>
                <w:szCs w:val="20"/>
              </w:rPr>
              <w:t xml:space="preserve">ms-facturacion</w:t>
            </w:r>
          </w:p>
        </w:tc>
        <w:tc>
          <w:tcPr>
            <w:tcW w:type="dxa" w:w="6000"/>
          </w:tcPr>
          <w:p>
            <w:r>
              <w:rPr>
                <w:b w:val="false"/>
                <w:bCs w:val="false"/>
                <w:color w:val="000000"/>
                <w:sz w:val="20"/>
                <w:szCs w:val="20"/>
              </w:rPr>
              <w:t xml:space="preserve">Controla la facturación, los pagos, copagos y cuotas moderadoras asociadas a cada servicio prestado.</w:t>
            </w:r>
          </w:p>
        </w:tc>
      </w:tr>
      <w:tr>
        <w:tc>
          <w:tcPr>
            <w:tcW w:type="dxa" w:w="3360"/>
          </w:tcPr>
          <w:p>
            <w:r>
              <w:rPr>
                <w:b w:val="false"/>
                <w:bCs w:val="false"/>
                <w:color w:val="000000"/>
                <w:sz w:val="20"/>
                <w:szCs w:val="20"/>
              </w:rPr>
              <w:t xml:space="preserve">ms-farmacia</w:t>
            </w:r>
          </w:p>
        </w:tc>
        <w:tc>
          <w:tcPr>
            <w:tcW w:type="dxa" w:w="6000"/>
          </w:tcPr>
          <w:p>
            <w:r>
              <w:rPr>
                <w:b w:val="false"/>
                <w:bCs w:val="false"/>
                <w:color w:val="000000"/>
                <w:sz w:val="20"/>
                <w:szCs w:val="20"/>
              </w:rPr>
              <w:t xml:space="preserve">Gestiona la dispensación de medicamentos formulados a los afiliados.</w:t>
            </w:r>
          </w:p>
        </w:tc>
      </w:tr>
      <w:tr>
        <w:tc>
          <w:tcPr>
            <w:tcW w:type="dxa" w:w="3360"/>
          </w:tcPr>
          <w:p>
            <w:r>
              <w:rPr>
                <w:b w:val="false"/>
                <w:bCs w:val="false"/>
                <w:color w:val="000000"/>
                <w:sz w:val="20"/>
                <w:szCs w:val="20"/>
              </w:rPr>
              <w:t xml:space="preserve">ms-notificaciones</w:t>
            </w:r>
          </w:p>
        </w:tc>
        <w:tc>
          <w:tcPr>
            <w:tcW w:type="dxa" w:w="6000"/>
          </w:tcPr>
          <w:p>
            <w:r>
              <w:rPr>
                <w:b w:val="false"/>
                <w:bCs w:val="false"/>
                <w:color w:val="000000"/>
                <w:sz w:val="20"/>
                <w:szCs w:val="20"/>
              </w:rPr>
              <w:t xml:space="preserve">Envía notificaciones a los usuarios (confirmación de citas, resultados, recordatorios) por correo, SMS o push.</w:t>
            </w:r>
          </w:p>
        </w:tc>
      </w:tr>
    </w:tbl>
    <w:p>
      <w:pPr>
        <w:pStyle w:val="Heading1"/>
        <w:spacing w:after="150" w:before="300"/>
      </w:pPr>
      <w:r>
        <w:t xml:space="preserve">4. Alcance en esta rama (main)</w:t>
      </w:r>
    </w:p>
    <w:p>
      <w:pPr>
        <w:spacing w:after="100"/>
      </w:pPr>
      <w:r>
        <w:rPr>
          <w:sz w:val="22"/>
          <w:szCs w:val="22"/>
        </w:rPr>
        <w:t xml:space="preserve">✔ README.md</w:t>
      </w:r>
    </w:p>
    <w:p>
      <w:pPr>
        <w:spacing w:after="100"/>
      </w:pPr>
      <w:r>
        <w:rPr>
          <w:sz w:val="22"/>
          <w:szCs w:val="22"/>
        </w:rPr>
        <w:t xml:space="preserve">✔ eps-microservicios/ (solo estructura de carpetas)</w:t>
      </w:r>
    </w:p>
    <w:p>
      <w:pPr>
        <w:spacing w:after="100"/>
      </w:pPr>
      <w:r>
        <w:rPr>
          <w:sz w:val="22"/>
          <w:szCs w:val="22"/>
        </w:rPr>
        <w:t xml:space="preserve">✔ EstructuraMicroservicios_EPS.docx (este documento)</w:t>
      </w:r>
    </w:p>
    <w:p>
      <w:pPr>
        <w:spacing w:after="100"/>
      </w:pPr>
      <w:r>
        <w:rPr>
          <w:i/>
          <w:iCs/>
          <w:color w:val="8B0000"/>
          <w:sz w:val="22"/>
          <w:szCs w:val="22"/>
        </w:rPr>
        <w:t xml:space="preserve">✘ Docs/ — exclusiva de la rama desarrollo</w:t>
      </w:r>
    </w:p>
    <w:p>
      <w:pPr>
        <w:spacing w:after="300"/>
      </w:pPr>
      <w:r>
        <w:rPr>
          <w:i/>
          <w:iCs/>
          <w:color w:val="8B0000"/>
          <w:sz w:val="22"/>
          <w:szCs w:val="22"/>
        </w:rPr>
        <w:t xml:space="preserve">✘ Algoritmos_pruebas/ — exclusiva de las ramas desarrollo y pruebas</w:t>
      </w:r>
    </w:p>
    <w:p>
      <w:pPr>
        <w:spacing w:before="400"/>
      </w:pPr>
      <w:r>
        <w:rPr>
          <w:color w:val="777777"/>
          <w:sz w:val="18"/>
          <w:szCs w:val="18"/>
        </w:rPr>
        <w:t xml:space="preserve">César Yovany Rua Quiñones  ·  GitHub: YOVANI2005  ·  Ingeniería de Software III  ·  2026-2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2026-09-22T02:36:10.315Z</dcterms:created>
  <dcterms:modified xsi:type="dcterms:W3CDTF">2026-09-22T02:36:10.324Z</dcterms:modified>
</cp:coreProperties>
</file>

<file path=docProps/custom.xml><?xml version="1.0" encoding="utf-8"?>
<Properties xmlns="http://schemas.openxmlformats.org/officeDocument/2006/custom-properties" xmlns:vt="http://schemas.openxmlformats.org/officeDocument/2006/docPropsVTypes"/>
</file>