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楊光梅好、安全第一</w:t>
        <w:br/>
        <w:t>高二交通安全課程計畫書</w:t>
      </w:r>
    </w:p>
    <w:p>
      <w:r>
        <w:t>桃園市立楊梅高級中等學校｜高二交通安全充實課程</w:t>
        <w:br/>
        <w:t>分組活動版</w:t>
      </w:r>
    </w:p>
    <w:p>
      <w:r>
        <w:t>「楊光梅好」取自校名，諧音「陽光美好」——那是你接下來的青春與未來；「安全第一」，是守住這一切的前提。這裡整理了課堂上的兩個重點，讓你課後複習、自己練習。</w:t>
      </w:r>
    </w:p>
    <w:p>
      <w:r>
        <w:t>課程主題　楊光梅好、安全第一</w:t>
        <w:br/>
        <w:t>帶領學生從新聞判讀通學風險，再以小組情境練習及個人檢核，形成具體的安全行動。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7860"/>
      </w:tblGrid>
      <w:tr>
        <w:trPr>
          <w:tblHeader/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執行項目</w:t>
            </w:r>
          </w:p>
        </w:tc>
        <w:tc>
          <w:tcPr>
            <w:tcW w:type="dxa" w:w="7860"/>
          </w:tcPr>
          <w:p>
            <w:pPr>
              <w:spacing w:after="80"/>
            </w:pPr>
            <w:r>
              <w:rPr>
                <w:sz w:val="18"/>
              </w:rPr>
              <w:t>安排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授課對象</w:t>
            </w:r>
          </w:p>
        </w:tc>
        <w:tc>
          <w:tcPr>
            <w:tcW w:type="dxa" w:w="7860"/>
          </w:tcPr>
          <w:p>
            <w:pPr>
              <w:spacing w:after="80"/>
            </w:pPr>
            <w:r>
              <w:rPr>
                <w:sz w:val="18"/>
              </w:rPr>
              <w:t>桃園市立楊梅高級中等學校高二學生，不預設已持有駕照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活動承辦與講師</w:t>
            </w:r>
          </w:p>
        </w:tc>
        <w:tc>
          <w:tcPr>
            <w:tcW w:type="dxa" w:w="7860"/>
          </w:tcPr>
          <w:p>
            <w:pPr>
              <w:spacing w:after="80"/>
            </w:pPr>
            <w:r>
              <w:rPr>
                <w:sz w:val="18"/>
              </w:rPr>
              <w:t>校內交通安全教師；協助人員由校內實際分工安排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時間與地點</w:t>
            </w:r>
          </w:p>
        </w:tc>
        <w:tc>
          <w:tcPr>
            <w:tcW w:type="dxa" w:w="7860"/>
          </w:tcPr>
          <w:p>
            <w:pPr>
              <w:spacing w:after="80"/>
            </w:pPr>
            <w:r>
              <w:rPr>
                <w:sz w:val="18"/>
              </w:rPr>
              <w:t>日期、班級及教室依學校課務安排填入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建議規模</w:t>
            </w:r>
          </w:p>
        </w:tc>
        <w:tc>
          <w:tcPr>
            <w:tcW w:type="dxa" w:w="7860"/>
          </w:tcPr>
          <w:p>
            <w:pPr>
              <w:spacing w:after="80"/>
            </w:pPr>
            <w:r>
              <w:rPr>
                <w:sz w:val="18"/>
              </w:rPr>
              <w:t>以一班約 30–40 人規劃，4–5 人一組，依實際人數調整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課程性質</w:t>
            </w:r>
          </w:p>
        </w:tc>
        <w:tc>
          <w:tcPr>
            <w:tcW w:type="dxa" w:w="7860"/>
          </w:tcPr>
          <w:p>
            <w:pPr>
              <w:spacing w:after="80"/>
            </w:pPr>
            <w:r>
              <w:rPr>
                <w:sz w:val="18"/>
              </w:rPr>
              <w:t>校內交通安全充實課程，不等同法定道路交通安全講習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教學方法</w:t>
            </w:r>
          </w:p>
        </w:tc>
        <w:tc>
          <w:tcPr>
            <w:tcW w:type="dxa" w:w="7860"/>
          </w:tcPr>
          <w:p>
            <w:pPr>
              <w:spacing w:after="80"/>
            </w:pPr>
            <w:r>
              <w:rPr>
                <w:sz w:val="18"/>
              </w:rPr>
              <w:t>新聞判讀、提問、合作討論、情境選擇、前後測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設備</w:t>
            </w:r>
          </w:p>
        </w:tc>
        <w:tc>
          <w:tcPr>
            <w:tcW w:type="dxa" w:w="7860"/>
          </w:tcPr>
          <w:p>
            <w:pPr>
              <w:spacing w:after="80"/>
            </w:pPr>
            <w:r>
              <w:rPr>
                <w:sz w:val="18"/>
              </w:rPr>
              <w:t>投影與音響、可連線電腦、簡報、每人活動單、每組白紙及筆</w:t>
            </w:r>
          </w:p>
        </w:tc>
      </w:tr>
    </w:tbl>
    <w:p>
      <w:pPr>
        <w:pStyle w:val="Heading1"/>
      </w:pPr>
      <w:r>
        <w:t>學習目標與達成證據</w:t>
      </w:r>
    </w:p>
    <w:p>
      <w:r>
        <w:t>辨識：從一則報導寫出至少一項可確認事實，並將推論分開。</w:t>
      </w:r>
    </w:p>
    <w:p>
      <w:r>
        <w:t>判斷：小組能指出兩項情境風險，提出可操作的當下行動。</w:t>
      </w:r>
    </w:p>
    <w:p>
      <w:r>
        <w:t>理解：以號誌、駕駛停讓義務或大型車特性說明行動理由。</w:t>
      </w:r>
    </w:p>
    <w:p>
      <w:r>
        <w:t>應用：個人後測至少答對 4 題，並寫下一項明確通學承諾。</w:t>
      </w:r>
    </w:p>
    <w:p>
      <w:pPr>
        <w:pStyle w:val="Heading1"/>
      </w:pPr>
      <w:r>
        <w:t>課堂的兩個重點</w:t>
      </w:r>
    </w:p>
    <w:p>
      <w:r>
        <w:t>看懂路口風險　理解行人號誌、駕駛停讓義務與大型車風險，留意校門及車站周邊的視線遮蔽。</w:t>
      </w:r>
    </w:p>
    <w:p>
      <w:r>
        <w:t>做出安全通學選擇　辨別合法騎乘條件，做好乘車與自行車準備，將成年後的用路責任轉成今天能做的安全行動。</w:t>
      </w:r>
    </w:p>
    <w:p>
      <w:pPr>
        <w:pStyle w:val="Heading1"/>
      </w:pPr>
      <w:r>
        <w:t>課程價值</w:t>
      </w:r>
    </w:p>
    <w:p>
      <w:r>
        <w:t>交通規則協助不同用路人預期彼此行動，降低衝突並保障行動較慢或視線受限者。課程同時討論個人行動、駕駛義務及道路環境，避免將事故責任簡化為行人是否夠小心。</w:t>
      </w:r>
    </w:p>
    <w:p>
      <w:r>
        <w:br w:type="page"/>
      </w:r>
    </w:p>
    <w:p>
      <w:pPr>
        <w:pStyle w:val="Heading1"/>
      </w:pPr>
      <w:r>
        <w:t>教學流程與教師備課安排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40"/>
        <w:gridCol w:w="1800"/>
        <w:gridCol w:w="6000"/>
        <w:gridCol w:w="920"/>
      </w:tblGrid>
      <w:tr>
        <w:trPr>
          <w:tblHeader/>
          <w:cantSplit/>
        </w:trPr>
        <w:tc>
          <w:tcPr>
            <w:tcW w:type="dxa" w:w="1140"/>
          </w:tcPr>
          <w:p>
            <w:pPr>
              <w:spacing w:after="80"/>
            </w:pPr>
            <w:r>
              <w:rPr>
                <w:sz w:val="18"/>
              </w:rPr>
              <w:t>時間</w:t>
            </w:r>
          </w:p>
        </w:tc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教學活動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sz w:val="18"/>
              </w:rPr>
              <w:t>教師與學生行動</w:t>
            </w:r>
          </w:p>
        </w:tc>
        <w:tc>
          <w:tcPr>
            <w:tcW w:type="dxa" w:w="920"/>
          </w:tcPr>
          <w:p>
            <w:pPr>
              <w:spacing w:after="80"/>
            </w:pPr>
            <w:r>
              <w:rPr>
                <w:sz w:val="18"/>
              </w:rPr>
              <w:t>簡報頁</w:t>
            </w:r>
          </w:p>
        </w:tc>
      </w:tr>
      <w:tr>
        <w:trPr>
          <w:cantSplit/>
        </w:trPr>
        <w:tc>
          <w:tcPr>
            <w:tcW w:type="dxa" w:w="1140"/>
          </w:tcPr>
          <w:p>
            <w:pPr>
              <w:spacing w:after="80"/>
            </w:pPr>
            <w:r>
              <w:rPr>
                <w:sz w:val="18"/>
              </w:rPr>
              <w:t>4 分</w:t>
            </w:r>
          </w:p>
        </w:tc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通學暖身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sz w:val="18"/>
              </w:rPr>
              <w:t>用舉手統計步行、乘車、自行車及其他方式。兩人分享一個最近看見的風險。</w:t>
            </w:r>
          </w:p>
        </w:tc>
        <w:tc>
          <w:tcPr>
            <w:tcW w:type="dxa" w:w="920"/>
          </w:tcPr>
          <w:p>
            <w:pPr>
              <w:spacing w:after="80"/>
            </w:pPr>
            <w:r>
              <w:rPr>
                <w:sz w:val="18"/>
              </w:rPr>
              <w:t>1–2</w:t>
            </w:r>
          </w:p>
        </w:tc>
      </w:tr>
      <w:tr>
        <w:trPr>
          <w:cantSplit/>
        </w:trPr>
        <w:tc>
          <w:tcPr>
            <w:tcW w:type="dxa" w:w="1140"/>
          </w:tcPr>
          <w:p>
            <w:pPr>
              <w:spacing w:after="80"/>
            </w:pPr>
            <w:r>
              <w:rPr>
                <w:sz w:val="18"/>
              </w:rPr>
              <w:t>4 分</w:t>
            </w:r>
          </w:p>
        </w:tc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三題前測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sz w:val="18"/>
              </w:rPr>
              <w:t>個人選答、同桌說理由；教師記錄誤解，暫不公布答案。</w:t>
            </w:r>
          </w:p>
        </w:tc>
        <w:tc>
          <w:tcPr>
            <w:tcW w:type="dxa" w:w="920"/>
          </w:tcPr>
          <w:p>
            <w:pPr>
              <w:spacing w:after="80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140"/>
          </w:tcPr>
          <w:p>
            <w:pPr>
              <w:spacing w:after="80"/>
            </w:pPr>
            <w:r>
              <w:rPr>
                <w:sz w:val="18"/>
              </w:rPr>
              <w:t>7 分</w:t>
            </w:r>
          </w:p>
        </w:tc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影片 A 與路口判讀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sz w:val="18"/>
              </w:rPr>
              <w:t>播放約 60 秒，兩人列出報導事實與安全建議，核對現行號誌規定。</w:t>
            </w:r>
          </w:p>
        </w:tc>
        <w:tc>
          <w:tcPr>
            <w:tcW w:type="dxa" w:w="920"/>
          </w:tcPr>
          <w:p>
            <w:pPr>
              <w:spacing w:after="80"/>
            </w:pPr>
            <w:r>
              <w:rPr>
                <w:sz w:val="18"/>
              </w:rPr>
              <w:t>4–6</w:t>
            </w:r>
          </w:p>
        </w:tc>
      </w:tr>
      <w:tr>
        <w:trPr>
          <w:cantSplit/>
        </w:trPr>
        <w:tc>
          <w:tcPr>
            <w:tcW w:type="dxa" w:w="1140"/>
          </w:tcPr>
          <w:p>
            <w:pPr>
              <w:spacing w:after="80"/>
            </w:pPr>
            <w:r>
              <w:rPr>
                <w:sz w:val="18"/>
              </w:rPr>
              <w:t>8 分</w:t>
            </w:r>
          </w:p>
        </w:tc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通學安全重點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sz w:val="18"/>
              </w:rPr>
              <w:t>說明駕駛停讓義務、大車內輪差與死角、騎乘及乘車條件。</w:t>
            </w:r>
          </w:p>
        </w:tc>
        <w:tc>
          <w:tcPr>
            <w:tcW w:type="dxa" w:w="920"/>
          </w:tcPr>
          <w:p>
            <w:pPr>
              <w:spacing w:after="80"/>
            </w:pPr>
            <w:r>
              <w:rPr>
                <w:sz w:val="18"/>
              </w:rPr>
              <w:t>7–10</w:t>
            </w:r>
          </w:p>
        </w:tc>
      </w:tr>
      <w:tr>
        <w:trPr>
          <w:cantSplit/>
        </w:trPr>
        <w:tc>
          <w:tcPr>
            <w:tcW w:type="dxa" w:w="1140"/>
          </w:tcPr>
          <w:p>
            <w:pPr>
              <w:spacing w:after="80"/>
            </w:pPr>
            <w:r>
              <w:rPr>
                <w:sz w:val="18"/>
              </w:rPr>
              <w:t>6 分</w:t>
            </w:r>
          </w:p>
        </w:tc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影片 B 與危險感知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sz w:val="18"/>
              </w:rPr>
              <w:t>播放約 45 秒，以安全模擬討論轉彎車、視線遮蔽及道路環境。</w:t>
            </w:r>
          </w:p>
        </w:tc>
        <w:tc>
          <w:tcPr>
            <w:tcW w:type="dxa" w:w="920"/>
          </w:tcPr>
          <w:p>
            <w:pPr>
              <w:spacing w:after="80"/>
            </w:pPr>
            <w:r>
              <w:rPr>
                <w:sz w:val="18"/>
              </w:rPr>
              <w:t>11–12</w:t>
            </w:r>
          </w:p>
        </w:tc>
      </w:tr>
      <w:tr>
        <w:trPr>
          <w:cantSplit/>
        </w:trPr>
        <w:tc>
          <w:tcPr>
            <w:tcW w:type="dxa" w:w="1140"/>
          </w:tcPr>
          <w:p>
            <w:pPr>
              <w:spacing w:after="80"/>
            </w:pPr>
            <w:r>
              <w:rPr>
                <w:sz w:val="18"/>
              </w:rPr>
              <w:t>12 分</w:t>
            </w:r>
          </w:p>
        </w:tc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小組情境任務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sz w:val="18"/>
              </w:rPr>
              <w:t>4–5 人一組，各選一題，完成風險、行動、理由與環境改善。</w:t>
            </w:r>
          </w:p>
        </w:tc>
        <w:tc>
          <w:tcPr>
            <w:tcW w:type="dxa" w:w="920"/>
          </w:tcPr>
          <w:p>
            <w:pPr>
              <w:spacing w:after="80"/>
            </w:pPr>
            <w:r>
              <w:rPr>
                <w:sz w:val="18"/>
              </w:rPr>
              <w:t>13–15</w:t>
            </w:r>
          </w:p>
        </w:tc>
      </w:tr>
      <w:tr>
        <w:trPr>
          <w:cantSplit/>
        </w:trPr>
        <w:tc>
          <w:tcPr>
            <w:tcW w:type="dxa" w:w="1140"/>
          </w:tcPr>
          <w:p>
            <w:pPr>
              <w:spacing w:after="80"/>
            </w:pPr>
            <w:r>
              <w:rPr>
                <w:sz w:val="18"/>
              </w:rPr>
              <w:t>8 分</w:t>
            </w:r>
          </w:p>
        </w:tc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分享與回饋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sz w:val="18"/>
              </w:rPr>
              <w:t>抽兩組各 2 分鐘，另 4 分鐘同儕與教師回饋，修正答案。</w:t>
            </w:r>
          </w:p>
        </w:tc>
        <w:tc>
          <w:tcPr>
            <w:tcW w:type="dxa" w:w="920"/>
          </w:tcPr>
          <w:p>
            <w:pPr>
              <w:spacing w:after="80"/>
            </w:pPr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1140"/>
          </w:tcPr>
          <w:p>
            <w:pPr>
              <w:spacing w:after="80"/>
            </w:pPr>
            <w:r>
              <w:rPr>
                <w:sz w:val="18"/>
              </w:rPr>
              <w:t>6 分</w:t>
            </w:r>
          </w:p>
        </w:tc>
        <w:tc>
          <w:tcPr>
            <w:tcW w:type="dxa" w:w="1800"/>
          </w:tcPr>
          <w:p>
            <w:pPr>
              <w:spacing w:after="80"/>
            </w:pPr>
            <w:r>
              <w:rPr>
                <w:sz w:val="18"/>
              </w:rPr>
              <w:t>離堂檢核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sz w:val="18"/>
              </w:rPr>
              <w:t>五題後測、對答案與一句具體通學承諾。</w:t>
            </w:r>
          </w:p>
        </w:tc>
        <w:tc>
          <w:tcPr>
            <w:tcW w:type="dxa" w:w="920"/>
          </w:tcPr>
          <w:p>
            <w:pPr>
              <w:spacing w:after="80"/>
            </w:pPr>
            <w:r>
              <w:rPr>
                <w:sz w:val="18"/>
              </w:rPr>
              <w:t>17–18</w:t>
            </w:r>
          </w:p>
        </w:tc>
      </w:tr>
    </w:tbl>
    <w:p>
      <w:r>
        <w:t>表中時間分配供教師備課參考，可依學生討論進度調整。影片以外的時段用於觀察、討論及回饋。簡報第 19–20 頁為教師備用，不另增授課時間。</w:t>
      </w:r>
    </w:p>
    <w:p>
      <w:pPr>
        <w:pStyle w:val="Heading1"/>
      </w:pPr>
      <w:r>
        <w:t>彈性安排</w:t>
      </w:r>
    </w:p>
    <w:p>
      <w:r>
        <w:t>依班級狀況調整暖身、前測及分享的節奏，保留情境判斷與離堂檢核。備選微電車報導可用於延伸討論，授課前先確認適合的播放片段。</w:t>
      </w:r>
    </w:p>
    <w:p>
      <w:pPr>
        <w:pStyle w:val="Heading1"/>
      </w:pPr>
      <w:r>
        <w:t>承辦教師準備與課後紀錄</w:t>
      </w:r>
    </w:p>
    <w:p>
      <w:r>
        <w:t>課前：確認日期與班級、試播影片、測試音量及字幕，列印活動單，預先分組。不上傳可辨識學生的影像或通學路線。影片失效時改用第 6 頁文字備援。</w:t>
      </w:r>
    </w:p>
    <w:p>
      <w:r>
        <w:t>課中：掌握每段結束時間，巡組澄清規則，提供可跳過事故畫面的選擇。只做教室內紙筆討論，不帶學生進入車道演練。</w:t>
      </w:r>
    </w:p>
    <w:p>
      <w:r>
        <w:t>課後：彙整人數、前後測正答率與常見誤解；保存去識別活動單作教學紀錄。經費可利用現有設備及校內列印，實際支出依核定辦理。</w:t>
      </w:r>
    </w:p>
    <w:p>
      <w:r>
        <w:br w:type="page"/>
      </w:r>
    </w:p>
    <w:p>
      <w:pPr>
        <w:pStyle w:val="Heading1"/>
      </w:pPr>
      <w:r>
        <w:t>教師引導語與概念說明</w:t>
      </w:r>
    </w:p>
    <w:p>
      <w:r>
        <w:t>暖身與前測　詢問「今天如何來學校？哪裡曾讓你猶豫要不要通過？」不要求公開住址。前測三句為：綠燈可完全不看車／17 歲只騎一小段普通重型機車可以／微電車免考照所以可載同學。三句皆錯，先收理由，課末再回看。</w:t>
      </w:r>
    </w:p>
    <w:p>
      <w:r>
        <w:t>影片 A 的判讀　播放前問「尚在人行道，綠燈開始閃光，怎麼做？」播放後用兩欄區分報導事實與個人推論。報導時點為 2026 年 3 月修法；以現行第 207 條核對，不能用舊罰則作本課答案。</w:t>
      </w:r>
    </w:p>
    <w:p>
      <w:r>
        <w:t>號誌與路口　穩定綠燈可穿越，仍觀察左右及轉彎車。閃光綠燈且尚未進入道路者避免跨入，本課安全建議是等下一輪。已進入道路者儘速通過，或停於交通島。紅色站立行人燈穩定顯示時禁止進入。</w:t>
      </w:r>
    </w:p>
    <w:p>
      <w:r>
        <w:t>駕駛停讓義務　駕駛行近行穿線或其他依法供行人穿越的交岔路口，有行人穿越時應暫停讓行人先通過。學生觀察來車是自我保護；眼神接觸也不是駕駛必然會停車的保證。</w:t>
      </w:r>
    </w:p>
    <w:p>
      <w:r>
        <w:t>大型車　內輪差是轉彎時前後輪軌跡差異，後輪較靠彎道內側；視野死角是駕駛看不到的區域。兩者不同，也可能同時存在。避免貼近車側與鑽縫，等車完成轉彎再依號誌安全通行，不用固定幾公尺當保證。</w:t>
      </w:r>
    </w:p>
    <w:p>
      <w:r>
        <w:t>騎乘與乘車　輕型及普通重型機車考照須滿 18 歲，且須持適當駕照。微電車須滿 14 歲、掛牌、投保有效強制險、戴安全帽且不得載人，速率不得超過每小時 25 公里。機車乘客也須戴安全帽。自行車建議戴安全帽，出發前檢查煞車與燈具。汽車依規定繫安全帶，公車停妥再上下車。</w:t>
      </w:r>
    </w:p>
    <w:p>
      <w:r>
        <w:t>影片 B 的轉用　這是 2024 年入校教學報導，不是楊梅高中活動紀錄。請學生指出模擬如何呈現轉彎車與視線限制，再把方法轉成高中放學情境。不因新聞提及學童就將兒童活動完整套用給高中生。</w:t>
      </w:r>
    </w:p>
    <w:p>
      <w:r>
        <w:t>回饋與離堂　分享後問「行動能立即做到嗎？理由能用規則或風險解釋嗎？還有哪個道路設計能改善？」後測先獨立作答，再澄清誤解，最後寫具體承諾。</w:t>
      </w:r>
    </w:p>
    <w:p>
      <w:r>
        <w:br w:type="page"/>
      </w:r>
    </w:p>
    <w:p>
      <w:pPr>
        <w:pStyle w:val="Heading1"/>
      </w:pPr>
      <w:r>
        <w:t>高中生交通安全情境活動</w:t>
      </w:r>
    </w:p>
    <w:p>
      <w:r>
        <w:t>任務名稱　放學路口判斷工作坊</w:t>
        <w:br/>
        <w:t>分工：主持、紀錄、報告與時間管理；5 人組可增設規則核對者。討論 12 分鐘：閱讀選題 2 分、討論 6 分、整理 3 分、自評 1 分。</w:t>
      </w:r>
    </w:p>
    <w:p>
      <w:r>
        <w:t>A 路口與手機　放學後，你仍站在人行道上，行人綠燈開始閃光。朋友拉你過馬路，右轉車正接近，路旁停車也擋住部分視線。</w:t>
      </w:r>
    </w:p>
    <w:p>
      <w:r>
        <w:t>教師回饋方向：留在人行道等下一輪穩定綠燈，收起手機。可通行時仍觀察轉彎車及遮蔽處，確認可安全穿越。駕駛仍負停讓義務。改善可提退縮停車、視距或行人時相，交由學校向主管機關反映。</w:t>
      </w:r>
    </w:p>
    <w:p>
      <w:r>
        <w:t>B 大型車與自行車　你騎自行車到路口，看見大型車打右方向燈，右側有一條看似能通過的空隙，同伴催你往前鑽。</w:t>
      </w:r>
    </w:p>
    <w:p>
      <w:r>
        <w:t>教師回饋方向：減速並在安全位置停等，避免進入大型車兩側與轉彎範圍，不以看見後照鏡推定駕駛已看見自己。等大車完成轉彎、路口安全再依號誌通行。改善可提清楚停等空間及路口視距。</w:t>
      </w:r>
    </w:p>
    <w:p>
      <w:r>
        <w:t>C 朋友借車　17 歲的同學說只騎普通重型機車一小段，另一人說改騎微型電動二輪車就能載你，反正不用考照。</w:t>
      </w:r>
    </w:p>
    <w:p>
      <w:r>
        <w:t>教師回饋方向：17 歲不能考領普通重型機車駕照，不無照騎乘。微電車須滿 14 歲，掛牌、投保有效強制險、戴安全帽且不得載人，速率不得超過每小時 25 公里。改搭公車、由合法接送者接送或依規定步行。</w:t>
      </w:r>
    </w:p>
    <w:p>
      <w:pPr>
        <w:pStyle w:val="Heading1"/>
      </w:pPr>
      <w:r>
        <w:t>評量規準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0"/>
        <w:gridCol w:w="2860"/>
        <w:gridCol w:w="2860"/>
        <w:gridCol w:w="2540"/>
      </w:tblGrid>
      <w:tr>
        <w:trPr>
          <w:tblHeader/>
          <w:cantSplit/>
        </w:trPr>
        <w:tc>
          <w:tcPr>
            <w:tcW w:type="dxa" w:w="1600"/>
          </w:tcPr>
          <w:p>
            <w:pPr>
              <w:spacing w:after="80"/>
            </w:pPr>
            <w:r>
              <w:rPr>
                <w:sz w:val="18"/>
              </w:rPr>
              <w:t>面向</w:t>
            </w:r>
          </w:p>
        </w:tc>
        <w:tc>
          <w:tcPr>
            <w:tcW w:type="dxa" w:w="2860"/>
          </w:tcPr>
          <w:p>
            <w:pPr>
              <w:spacing w:after="80"/>
            </w:pPr>
            <w:r>
              <w:rPr>
                <w:sz w:val="18"/>
              </w:rPr>
              <w:t>2 分</w:t>
            </w:r>
          </w:p>
        </w:tc>
        <w:tc>
          <w:tcPr>
            <w:tcW w:type="dxa" w:w="2860"/>
          </w:tcPr>
          <w:p>
            <w:pPr>
              <w:spacing w:after="80"/>
            </w:pPr>
            <w:r>
              <w:rPr>
                <w:sz w:val="18"/>
              </w:rPr>
              <w:t>1 分</w:t>
            </w:r>
          </w:p>
        </w:tc>
        <w:tc>
          <w:tcPr>
            <w:tcW w:type="dxa" w:w="2540"/>
          </w:tcPr>
          <w:p>
            <w:pPr>
              <w:spacing w:after="80"/>
            </w:pPr>
            <w:r>
              <w:rPr>
                <w:sz w:val="18"/>
              </w:rPr>
              <w:t>0 分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rPr>
                <w:sz w:val="18"/>
              </w:rPr>
              <w:t>風險辨識</w:t>
            </w:r>
          </w:p>
        </w:tc>
        <w:tc>
          <w:tcPr>
            <w:tcW w:type="dxa" w:w="2860"/>
          </w:tcPr>
          <w:p>
            <w:pPr>
              <w:spacing w:after="80"/>
            </w:pPr>
            <w:r>
              <w:rPr>
                <w:sz w:val="18"/>
              </w:rPr>
              <w:t>指出兩個具體風險</w:t>
            </w:r>
          </w:p>
        </w:tc>
        <w:tc>
          <w:tcPr>
            <w:tcW w:type="dxa" w:w="2860"/>
          </w:tcPr>
          <w:p>
            <w:pPr>
              <w:spacing w:after="80"/>
            </w:pPr>
            <w:r>
              <w:rPr>
                <w:sz w:val="18"/>
              </w:rPr>
              <w:t>只指出一個或較籠統</w:t>
            </w:r>
          </w:p>
        </w:tc>
        <w:tc>
          <w:tcPr>
            <w:tcW w:type="dxa" w:w="2540"/>
          </w:tcPr>
          <w:p>
            <w:pPr>
              <w:spacing w:after="80"/>
            </w:pPr>
            <w:r>
              <w:rPr>
                <w:sz w:val="18"/>
              </w:rPr>
              <w:t>未指出風險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rPr>
                <w:sz w:val="18"/>
              </w:rPr>
              <w:t>當下行動</w:t>
            </w:r>
          </w:p>
        </w:tc>
        <w:tc>
          <w:tcPr>
            <w:tcW w:type="dxa" w:w="2860"/>
          </w:tcPr>
          <w:p>
            <w:pPr>
              <w:spacing w:after="80"/>
            </w:pPr>
            <w:r>
              <w:rPr>
                <w:sz w:val="18"/>
              </w:rPr>
              <w:t>具體可做且能避險</w:t>
            </w:r>
          </w:p>
        </w:tc>
        <w:tc>
          <w:tcPr>
            <w:tcW w:type="dxa" w:w="2860"/>
          </w:tcPr>
          <w:p>
            <w:pPr>
              <w:spacing w:after="80"/>
            </w:pPr>
            <w:r>
              <w:rPr>
                <w:sz w:val="18"/>
              </w:rPr>
              <w:t>方向可行但缺細節</w:t>
            </w:r>
          </w:p>
        </w:tc>
        <w:tc>
          <w:tcPr>
            <w:tcW w:type="dxa" w:w="2540"/>
          </w:tcPr>
          <w:p>
            <w:pPr>
              <w:spacing w:after="80"/>
            </w:pPr>
            <w:r>
              <w:rPr>
                <w:sz w:val="18"/>
              </w:rPr>
              <w:t>行動增加風險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rPr>
                <w:sz w:val="18"/>
              </w:rPr>
              <w:t>規則與理由</w:t>
            </w:r>
          </w:p>
        </w:tc>
        <w:tc>
          <w:tcPr>
            <w:tcW w:type="dxa" w:w="2860"/>
          </w:tcPr>
          <w:p>
            <w:pPr>
              <w:spacing w:after="80"/>
            </w:pPr>
            <w:r>
              <w:rPr>
                <w:sz w:val="18"/>
              </w:rPr>
              <w:t>正確連結規則或風險原理</w:t>
            </w:r>
          </w:p>
        </w:tc>
        <w:tc>
          <w:tcPr>
            <w:tcW w:type="dxa" w:w="2860"/>
          </w:tcPr>
          <w:p>
            <w:pPr>
              <w:spacing w:after="80"/>
            </w:pPr>
            <w:r>
              <w:rPr>
                <w:sz w:val="18"/>
              </w:rPr>
              <w:t>理由不完整</w:t>
            </w:r>
          </w:p>
        </w:tc>
        <w:tc>
          <w:tcPr>
            <w:tcW w:type="dxa" w:w="2540"/>
          </w:tcPr>
          <w:p>
            <w:pPr>
              <w:spacing w:after="80"/>
            </w:pPr>
            <w:r>
              <w:rPr>
                <w:sz w:val="18"/>
              </w:rPr>
              <w:t>錯誤或無理由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rPr>
                <w:sz w:val="18"/>
              </w:rPr>
              <w:t>環境改善</w:t>
            </w:r>
          </w:p>
        </w:tc>
        <w:tc>
          <w:tcPr>
            <w:tcW w:type="dxa" w:w="2860"/>
          </w:tcPr>
          <w:p>
            <w:pPr>
              <w:spacing w:after="80"/>
            </w:pPr>
            <w:r>
              <w:rPr>
                <w:sz w:val="18"/>
              </w:rPr>
              <w:t>具體且可由學校反映</w:t>
            </w:r>
          </w:p>
        </w:tc>
        <w:tc>
          <w:tcPr>
            <w:tcW w:type="dxa" w:w="2860"/>
          </w:tcPr>
          <w:p>
            <w:pPr>
              <w:spacing w:after="80"/>
            </w:pPr>
            <w:r>
              <w:rPr>
                <w:sz w:val="18"/>
              </w:rPr>
              <w:t>想法籠統</w:t>
            </w:r>
          </w:p>
        </w:tc>
        <w:tc>
          <w:tcPr>
            <w:tcW w:type="dxa" w:w="2540"/>
          </w:tcPr>
          <w:p>
            <w:pPr>
              <w:spacing w:after="80"/>
            </w:pPr>
            <w:r>
              <w:rPr>
                <w:sz w:val="18"/>
              </w:rPr>
              <w:t>未提出</w:t>
            </w:r>
          </w:p>
        </w:tc>
      </w:tr>
    </w:tbl>
    <w:p>
      <w:r>
        <w:t>小組共 8 分，6 分以上作為本課任務達成參考；若「當下行動」為 0 分，教師須先澄清並要求修正，不以總分取代安全判斷。兩組各分享 2 分鐘，其餘小組以活動單交件。</w:t>
      </w:r>
    </w:p>
    <w:p>
      <w:r>
        <w:t>差異化安排：閱讀困難者可由同學朗讀，以口述或畫出停等位置替代長篇文字。聽覺需求者先讀文字摘要。對事故內容不適者改用文字情境，仍能完成相同目標。</w:t>
      </w:r>
    </w:p>
    <w:p>
      <w:r>
        <w:br w:type="page"/>
      </w:r>
    </w:p>
    <w:p>
      <w:pPr>
        <w:pStyle w:val="Heading1"/>
      </w:pPr>
      <w:r>
        <w:t>離堂檢核與教師解答</w:t>
      </w:r>
    </w:p>
    <w:p>
      <w:r>
        <w:t>1　仍在人行道上，行人綠燈開始閃光，較安全的選擇是？</w:t>
      </w:r>
    </w:p>
    <w:p>
      <w:r>
        <w:t>答案：等下一輪穩定綠燈</w:t>
        <w:br/>
        <w:t>理由：現行規定為尚未進入道路者避免跨入；教學建議等下一輪。已進入道路者應儘速通過，或在交通島停等。</w:t>
      </w:r>
    </w:p>
    <w:p>
      <w:r>
        <w:t>2　行人依法穿越路口時，駕駛應如何處理？</w:t>
      </w:r>
    </w:p>
    <w:p>
      <w:r>
        <w:t>答案：暫停讓行人先通過</w:t>
        <w:br/>
        <w:t>理由：駕駛負有停讓義務。行人觀察來車是自我保護，不會免除駕駛責任。</w:t>
      </w:r>
    </w:p>
    <w:p>
      <w:r>
        <w:t>3　大型車準備右轉，騎自行車的你應？</w:t>
      </w:r>
    </w:p>
    <w:p>
      <w:r>
        <w:t>答案：避開車側與轉彎範圍，安全停等</w:t>
        <w:br/>
        <w:t>理由：後輪轉彎軌跡更靠內側，且車旁有視野死角；沒有固定距離能保證安全。</w:t>
      </w:r>
    </w:p>
    <w:p>
      <w:r>
        <w:t>4　17 歲學生能否因只騎一小段就騎普通重型機車上路？</w:t>
      </w:r>
    </w:p>
    <w:p>
      <w:r>
        <w:t>答案：不能，須符合年齡並持適當駕照</w:t>
        <w:br/>
        <w:t>理由：考領輕型及普通重型機車駕照須年滿 18 歲；年滿 18 歲仍須考領適當駕照。</w:t>
      </w:r>
    </w:p>
    <w:p>
      <w:r>
        <w:t>5　關於微型電動二輪車，哪一項正確？</w:t>
      </w:r>
    </w:p>
    <w:p>
      <w:r>
        <w:t>答案：滿 14 歲、掛牌與有效強制險，戴安全帽且不載人</w:t>
        <w:br/>
        <w:t>理由：微電車免考照仍有年齡及車輛條件，速率不得超過每小時 25 公里，不可擅自改裝。</w:t>
      </w:r>
    </w:p>
    <w:p>
      <w:pPr>
        <w:pStyle w:val="Heading1"/>
      </w:pPr>
      <w:r>
        <w:t>形成性評量與後續教學</w:t>
      </w:r>
    </w:p>
    <w:p>
      <w:r>
        <w:t>前測用於掌握迷思，不計成績；後測五題各 1 分，4 分以上為基本達成。未達者依錯題完成一次口頭說明或重答。教師記錄哪一題錯誤較多，於後續班級提醒補強。</w:t>
      </w:r>
    </w:p>
    <w:p>
      <w:r>
        <w:t>計算方式：該題正答人數 ÷ 實際作答人數 × 100%。本套教材未提供虛構成效數據；教師於授課後填入實際結果。</w:t>
      </w:r>
    </w:p>
    <w:p>
      <w:r>
        <w:t>離堂承諾句型：「今天放學遇到＿＿時，我會＿＿，因為＿＿。」具體示例：「行人綠燈開始閃光且還沒進入道路時，我會等下一輪穩定綠燈，保留安全通行時間。」</w:t>
      </w:r>
    </w:p>
    <w:p>
      <w:pPr>
        <w:pStyle w:val="Heading1"/>
      </w:pPr>
      <w:r>
        <w:t>可保存的教學紀錄</w:t>
      </w:r>
    </w:p>
    <w:p>
      <w:r>
        <w:t>建議紀錄授課日期、班級、實到人數、前後測錯題、各組任務是否修正，以及學生提出的環境改善。若需活動照片，先依校內規範處理肖像與個資；不公布學生姓名、車牌或個人通學路線。</w:t>
      </w:r>
    </w:p>
    <w:p>
      <w:r>
        <w:br w:type="page"/>
      </w:r>
    </w:p>
    <w:p>
      <w:pPr>
        <w:pStyle w:val="Heading1"/>
      </w:pPr>
      <w:r>
        <w:t>YouTube 片段播放清單</w:t>
      </w:r>
    </w:p>
    <w:p>
      <w:r>
        <w:t>主課採 A、B 兩片，共建議播放約 105 秒。以下是播放區段選輯，未下載或剪輯成影片檔。時間為教學建議，未逐秒審看，教師必須在授課前試播並確認畫面、字幕及聲音。</w:t>
      </w:r>
    </w:p>
    <w:p>
      <w:r>
        <w:t>A　行人綠燈閃光規定修正</w:t>
        <w:br/>
        <w:t>公視新聞網　發布 2026-03-11</w:t>
        <w:br/>
        <w:t>建議區段：00:00–01:00</w:t>
        <w:br/>
        <w:t>辨識新聞中的修法資訊，區分穩定綠燈與閃光綠燈。</w:t>
      </w:r>
    </w:p>
    <w:p>
      <w:hyperlink r:id="rId9">
        <w:r>
          <w:rPr>
            <w:color w:val="174E77"/>
          </w:rPr>
          <w:t>開啟原發布者 YouTube 影片</w:t>
        </w:r>
      </w:hyperlink>
    </w:p>
    <w:p>
      <w:hyperlink r:id="rId10">
        <w:r>
          <w:rPr>
            <w:color w:val="174E77"/>
          </w:rPr>
          <w:t>核對報導來源與發布資訊</w:t>
        </w:r>
      </w:hyperlink>
    </w:p>
    <w:p>
      <w:r>
        <w:t>播放前：還在人行道上時，綠燈開始閃光，你會怎麼做？</w:t>
        <w:br/>
        <w:t>播放後：哪些是報導事實？哪些是你的安全建議？用現行條文修正答案。</w:t>
      </w:r>
    </w:p>
    <w:p>
      <w:r>
        <w:t>B　交通安全入校教育宣導 結合動畫與桌遊</w:t>
        <w:br/>
        <w:t>公視新聞網　發布 2024-02-13</w:t>
        <w:br/>
        <w:t>建議區段：00:00–00:45</w:t>
        <w:br/>
        <w:t>觀察模擬情境如何呈現來車風險，將方法轉成高中通學情境。</w:t>
      </w:r>
    </w:p>
    <w:p>
      <w:hyperlink r:id="rId11">
        <w:r>
          <w:rPr>
            <w:color w:val="174E77"/>
          </w:rPr>
          <w:t>開啟原發布者 YouTube 影片</w:t>
        </w:r>
      </w:hyperlink>
    </w:p>
    <w:p>
      <w:hyperlink r:id="rId12">
        <w:r>
          <w:rPr>
            <w:color w:val="174E77"/>
          </w:rPr>
          <w:t>核對報導來源與發布資訊</w:t>
        </w:r>
      </w:hyperlink>
    </w:p>
    <w:p>
      <w:r>
        <w:t>播放前：綠燈時，哪些方向的轉彎車還會與你交會？</w:t>
        <w:br/>
        <w:t>播放後：指出一個視線受阻處，提出自己的行動及一項道路改善建議。</w:t>
      </w:r>
    </w:p>
    <w:p>
      <w:r>
        <w:t>C　微型電動二輪車納管 需掛牌與投保強制險</w:t>
        <w:br/>
        <w:t>TVBS NEWS　發布 2024-10-27</w:t>
        <w:br/>
        <w:t>建議區段：00:00–00:45</w:t>
        <w:br/>
        <w:t>延伸討論備選，辨識微電車與機車規定差異。</w:t>
      </w:r>
    </w:p>
    <w:p>
      <w:hyperlink r:id="rId13">
        <w:r>
          <w:rPr>
            <w:color w:val="174E77"/>
          </w:rPr>
          <w:t>開啟原發布者 YouTube 影片</w:t>
        </w:r>
      </w:hyperlink>
    </w:p>
    <w:p>
      <w:hyperlink r:id="rId14">
        <w:r>
          <w:rPr>
            <w:color w:val="174E77"/>
          </w:rPr>
          <w:t>核對報導來源與發布資訊</w:t>
        </w:r>
      </w:hyperlink>
    </w:p>
    <w:p>
      <w:r>
        <w:t>播放前：免考駕照，是否就沒有年齡與車輛條件？</w:t>
        <w:br/>
        <w:t>播放後：說出年齡、掛牌及保險條件。報導中的 11/30 是 2024 年歷史日期。</w:t>
      </w:r>
    </w:p>
    <w:p>
      <w:pPr>
        <w:pStyle w:val="Heading1"/>
      </w:pPr>
      <w:r>
        <w:t>無網路及影片失效備援</w:t>
      </w:r>
    </w:p>
    <w:p>
      <w:r>
        <w:t>A 文字情境：你還在人行道上，行人綠燈開始閃光，朋友催你快跑。請同桌選擇「進入」或「等待」並說理由，再核對現行號誌規定。此為原創情境，不冒充影片逐字稿。</w:t>
      </w:r>
    </w:p>
    <w:p>
      <w:r>
        <w:t>B 文字情境：穩定綠燈時，右轉車接近，停放車遮住你的視線。請列出可能交會的車輛與可停等位置，再提一項能改善視線的設計。用同樣的提問及時間完成討論。</w:t>
      </w:r>
    </w:p>
    <w:p>
      <w:r>
        <w:t>影片擋廣告或播放延遲超過 30 秒，即切換文字情境。不要繞過登入、付費、地區或權利限制。教學不需完整播放傷亡事故畫面，不要求學生判定個案肇事責任。</w:t>
      </w:r>
    </w:p>
    <w:p>
      <w:r>
        <w:br w:type="page"/>
      </w:r>
    </w:p>
    <w:p>
      <w:pPr>
        <w:pStyle w:val="Heading1"/>
      </w:pPr>
      <w:r>
        <w:t>校內來源與改編對照</w:t>
      </w:r>
    </w:p>
    <w:p>
      <w:r>
        <w:t>主要依據為提供的「114-2交通安全-充實課程」資料夾。原有四個主題整合為「看懂路口風險」及「做出安全通學選擇」。以下保留原始檔名與章節供回查。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00"/>
        <w:gridCol w:w="2200"/>
        <w:gridCol w:w="3660"/>
      </w:tblGrid>
      <w:tr>
        <w:trPr>
          <w:tblHeader/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校內檔案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原文位置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本版採用方式</w:t>
            </w:r>
          </w:p>
        </w:tc>
      </w:tr>
      <w:tr>
        <w:trPr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楊梅高中-114交通安全課程模組(何友友).docx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主題內容重點、學習目標、教材來源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保留未成年通學、成年用路責任、重要法規與楊梅高中周邊安全四個主題。</w:t>
            </w:r>
          </w:p>
        </w:tc>
      </w:tr>
      <w:tr>
        <w:trPr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114-2學期楊梅高中交通安全教學教案-何友友.docx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壹、貳、陸、捌、玖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採通學情境、認知情意技能目標及正向引導，轉為小組情境討論與個人檢核。</w:t>
            </w:r>
          </w:p>
        </w:tc>
      </w:tr>
      <w:tr>
        <w:trPr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114-2學期楊梅高中交通安全教學教案_完成版-CHAT GPT.docx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三、四大教學重點；校門、站牌與風險觀察點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參考楊梅站轉乘、高獅路校門及周邊視線遮蔽的觀察方向，採假設情境，不標成事故熱點。</w:t>
            </w:r>
          </w:p>
        </w:tc>
      </w:tr>
      <w:tr>
        <w:trPr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交通安全教學簡報.pptx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教學目標、未成年校外安全守則、成年後駕駛須知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整合步行、乘車、合法騎乘及預防性駕駛觀念，依現行官方資料重新撰寫。</w:t>
            </w:r>
          </w:p>
        </w:tc>
      </w:tr>
      <w:tr>
        <w:trPr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守護生命：楊梅高中交通安全專題.pptx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未成年防禦守則、微型電動二輪車、在地安全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保留微電車與大型車風險主題，重新核對法規與安全建議。</w:t>
            </w:r>
          </w:p>
        </w:tc>
      </w:tr>
    </w:tbl>
    <w:p>
      <w:r>
        <w:t>校內原始檔案及學生照片不隨公開教材散布。在地例子為教學假設，不標成事故熱點或現場勘查結論。</w:t>
      </w:r>
    </w:p>
    <w:p>
      <w:r>
        <w:br w:type="page"/>
      </w:r>
    </w:p>
    <w:p>
      <w:pPr>
        <w:pStyle w:val="Heading1"/>
      </w:pPr>
      <w:r>
        <w:t>來源與著作權使用</w:t>
      </w:r>
    </w:p>
    <w:p>
      <w:r>
        <w:t>法規查核日：2026 年 10 月 8 日。授課前再查看法規更新。參考下列官方來源，教材以原創文字摘要編製，詳細適用以現行條文為準。</w:t>
      </w:r>
    </w:p>
    <w:p>
      <w:hyperlink r:id="rId15">
        <w:r>
          <w:rPr>
            <w:color w:val="174E77"/>
          </w:rPr>
          <w:t>1　道路交通安全規則 第 60、114、122、133、134、136 條</w:t>
        </w:r>
      </w:hyperlink>
    </w:p>
    <w:p>
      <w:hyperlink r:id="rId16">
        <w:r>
          <w:rPr>
            <w:color w:val="174E77"/>
          </w:rPr>
          <w:t>2　道路交通標誌標線號誌設置規則 第 207 條</w:t>
        </w:r>
      </w:hyperlink>
    </w:p>
    <w:p>
      <w:hyperlink r:id="rId17">
        <w:r>
          <w:rPr>
            <w:color w:val="174E77"/>
          </w:rPr>
          <w:t>3　道路交通管理處罰條例 第 44、73 條</w:t>
        </w:r>
      </w:hyperlink>
    </w:p>
    <w:p>
      <w:hyperlink r:id="rId18">
        <w:r>
          <w:rPr>
            <w:color w:val="174E77"/>
          </w:rPr>
          <w:t>4　公路局 微型電動二輪車騎乘條件</w:t>
        </w:r>
      </w:hyperlink>
    </w:p>
    <w:p>
      <w:hyperlink r:id="rId19">
        <w:r>
          <w:rPr>
            <w:color w:val="174E77"/>
          </w:rPr>
          <w:t>5　公路局 大型車內輪差安全宣導</w:t>
        </w:r>
      </w:hyperlink>
    </w:p>
    <w:p>
      <w:hyperlink r:id="rId20">
        <w:r>
          <w:rPr>
            <w:color w:val="174E77"/>
          </w:rPr>
          <w:t>6　著作權法 第 46、46之1、65 條</w:t>
        </w:r>
      </w:hyperlink>
    </w:p>
    <w:p>
      <w:hyperlink r:id="rId21">
        <w:r>
          <w:rPr>
            <w:color w:val="174E77"/>
          </w:rPr>
          <w:t>7　智慧財產局 課堂播放影片說明</w:t>
        </w:r>
      </w:hyperlink>
    </w:p>
    <w:p>
      <w:hyperlink r:id="rId22">
        <w:r>
          <w:rPr>
            <w:color w:val="174E77"/>
          </w:rPr>
          <w:t>8　楊梅高中教務處 校址與學校資訊</w:t>
        </w:r>
      </w:hyperlink>
    </w:p>
    <w:p>
      <w:r>
        <w:t>課堂播放：依法設立學校及教師，在授課目的必要範圍內，得依著作權法第 46 條評估公開上映，並依第 65 條判斷合理使用。網路公開課程與活動播映的利用型態不同，不能一律視為課堂例外。</w:t>
      </w:r>
    </w:p>
    <w:p>
      <w:r>
        <w:t>網站使用：僅提供原發布者連結及原播放器，不存放影片、不提供影片下載、不擷取新聞畫面、不重新上傳。影片及原網站內容權利屬原權利人；嵌入可用不表示已取得全面重製授權。原創文字、活動與版面可供校內教學修改，第三方內容依其原權利條件使用。</w:t>
      </w:r>
    </w:p>
    <w:p>
      <w:r>
        <w:t>視覺：插畫為 AI 生成之教學示意，非真實校園或事故。未使用校徽，不代表學校正式公告。日期、地點與班級由校內承辦教師確認後對外公告。</w:t>
      </w:r>
    </w:p>
    <w:p>
      <w:pPr>
        <w:pStyle w:val="Heading1"/>
      </w:pPr>
      <w:r>
        <w:t>宣傳文案與使用方式</w:t>
      </w:r>
    </w:p>
    <w:p>
      <w:r>
        <w:t>班級公告：桃園市立楊梅高級中等學校高二交通安全充實課程「楊光梅好、安全第一」。從新聞判讀路口風險，與同學完成情境任務。上課時間與地點依班級課務通知，請攜帶筆。</w:t>
      </w:r>
    </w:p>
    <w:p>
      <w:r>
        <w:t>海報建議張貼於班級公告欄或校內電子看板。海報不虛構活動日期與報名方式；排課確定後，可由教師在可編輯簡報封面或公告文字中補入。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Microsoft JhengHei" w:hAnsi="Microsoft JhengHei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028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IkMxj7dcCt0&amp;t=0s" TargetMode="External"/><Relationship Id="rId10" Type="http://schemas.openxmlformats.org/officeDocument/2006/relationships/hyperlink" Target="https://news.pts.org.tw/article/798519" TargetMode="External"/><Relationship Id="rId11" Type="http://schemas.openxmlformats.org/officeDocument/2006/relationships/hyperlink" Target="https://www.youtube.com/watch?v=9jZBF0afDTo&amp;t=0s" TargetMode="External"/><Relationship Id="rId12" Type="http://schemas.openxmlformats.org/officeDocument/2006/relationships/hyperlink" Target="https://news.pts.org.tw/article/680631" TargetMode="External"/><Relationship Id="rId13" Type="http://schemas.openxmlformats.org/officeDocument/2006/relationships/hyperlink" Target="https://www.youtube.com/watch?v=iGjryEVod7c&amp;t=0s" TargetMode="External"/><Relationship Id="rId14" Type="http://schemas.openxmlformats.org/officeDocument/2006/relationships/hyperlink" Target="https://www.youtube.com/watch?v=iGjryEVod7c" TargetMode="External"/><Relationship Id="rId15" Type="http://schemas.openxmlformats.org/officeDocument/2006/relationships/hyperlink" Target="https://law.moj.gov.tw/LawClass/LawAll.aspx?PCode=K0040013" TargetMode="External"/><Relationship Id="rId16" Type="http://schemas.openxmlformats.org/officeDocument/2006/relationships/hyperlink" Target="https://law.moj.gov.tw/LawClass/LawAll.aspx?pcode=K0040014" TargetMode="External"/><Relationship Id="rId17" Type="http://schemas.openxmlformats.org/officeDocument/2006/relationships/hyperlink" Target="https://law.moj.gov.tw/LawClass/LawAll.aspx?pcode=K0040012" TargetMode="External"/><Relationship Id="rId18" Type="http://schemas.openxmlformats.org/officeDocument/2006/relationships/hyperlink" Target="https://www.thb.gov.tw/News_Content.aspx?Create=1&amp;n=12181&amp;s=258228&amp;sms=14672" TargetMode="External"/><Relationship Id="rId19" Type="http://schemas.openxmlformats.org/officeDocument/2006/relationships/hyperlink" Target="https://www.thb.gov.tw/News_Content_table.aspx?n=87&amp;s=60444" TargetMode="External"/><Relationship Id="rId20" Type="http://schemas.openxmlformats.org/officeDocument/2006/relationships/hyperlink" Target="https://law.moj.gov.tw/LawClass/LawAll.aspx?PCode=J0070017" TargetMode="External"/><Relationship Id="rId21" Type="http://schemas.openxmlformats.org/officeDocument/2006/relationships/hyperlink" Target="https://www.tipo.gov.tw/tw/copyright/701-21231.html" TargetMode="External"/><Relationship Id="rId22" Type="http://schemas.openxmlformats.org/officeDocument/2006/relationships/hyperlink" Target="https://www.ymhs.tyc.edu.tw/home?cid=34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楊光梅好、安全第一 高二交通安全充實課程</dc:title>
  <dc:subject/>
  <dc:creator>交通安全課程教材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