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E256A5">
      <w:pPr>
        <w:pStyle w:val="31"/>
      </w:pPr>
      <w:r>
        <w:t>2026 年中国研究生数学建模竞赛 F 题</w:t>
      </w:r>
    </w:p>
    <w:p w14:paraId="2763FC6E">
      <w:pPr>
        <w:pStyle w:val="31"/>
      </w:pPr>
      <w:r>
        <w:t>算力约束下提升大语言模型能力的资源配置建模</w:t>
      </w:r>
    </w:p>
    <w:p w14:paraId="4A97586A">
      <w:pPr>
        <w:pStyle w:val="31"/>
      </w:pPr>
      <w:r>
        <w:t>（精简重构版）</w:t>
      </w:r>
    </w:p>
    <w:p w14:paraId="3CA176DC">
      <w:pPr>
        <w:pStyle w:val="3"/>
        <w:numPr>
          <w:ilvl w:val="0"/>
          <w:numId w:val="7"/>
        </w:numPr>
        <w:topLinePunct w:val="0"/>
        <w:ind w:left="0" w:leftChars="0" w:firstLine="0" w:firstLineChars="0"/>
        <w:rPr>
          <w:rFonts w:hint="eastAsia" w:ascii="黑体" w:hAnsi="黑体" w:eastAsia="黑体" w:cs="黑体"/>
          <w:b w:val="0"/>
          <w:bdr w:val="none" w:sz="0" w:space="0"/>
        </w:rPr>
      </w:pPr>
      <w:r>
        <w:t>问题背景与研究对象</w:t>
      </w:r>
    </w:p>
    <w:p w14:paraId="24C7F47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大语言模型的验证集交叉熵损失（下称 Loss）与参数规模 </w:t>
      </w:r>
      <m:oMath>
        <m:r>
          <w:rPr>
            <w:rFonts w:ascii="Times New Roman" w:hAnsi="Times New Roman" w:eastAsia="宋体" w:cs="Times New Roman"/>
            <w:sz w:val="24"/>
            <w:szCs w:val="24"/>
          </w:rPr>
          <m:t>N</m:t>
        </m:r>
      </m:oMath>
      <w:r>
        <w:rPr>
          <w:rFonts w:ascii="Times New Roman" w:hAnsi="Times New Roman" w:eastAsia="宋体" w:cs="Times New Roman"/>
          <w:sz w:val="24"/>
          <w:szCs w:val="24"/>
        </w:rPr>
        <w:t xml:space="preserve">、训练数据量 </w:t>
      </w:r>
      <m:oMath>
        <m:r>
          <w:rPr>
            <w:rFonts w:ascii="Times New Roman" w:hAnsi="Times New Roman" w:eastAsia="宋体" w:cs="Times New Roman"/>
            <w:sz w:val="24"/>
            <w:szCs w:val="24"/>
          </w:rPr>
          <m:t>D</m:t>
        </m:r>
      </m:oMath>
      <w:r>
        <w:rPr>
          <w:rFonts w:ascii="Times New Roman" w:hAnsi="Times New Roman" w:eastAsia="宋体" w:cs="Times New Roman"/>
          <w:sz w:val="24"/>
          <w:szCs w:val="24"/>
        </w:rPr>
        <w:t xml:space="preserve"> 有关。一个常用的经验标度律为</w:t>
      </w:r>
    </w:p>
    <w:p w14:paraId="7ABBD796">
      <w:pPr>
        <w:pStyle w:val="19"/>
        <w:widowControl/>
        <w:rPr>
          <w:rFonts w:ascii="Times New Roman" w:hAnsi="Times New Roman" w:eastAsia="宋体" w:cs="Times New Roman"/>
          <w:sz w:val="24"/>
          <w:szCs w:val="24"/>
        </w:rPr>
      </w:pPr>
      <m:oMathPara>
        <m:oMath>
          <m:sSup>
            <m:sSupPr>
              <m:ctrlPr>
                <w:rPr>
                  <w:rFonts w:ascii="Cambria Math" w:hAnsi="Cambria Math" w:eastAsia="宋体" w:cs="Times New Roman"/>
                  <w:sz w:val="24"/>
                  <w:szCs w:val="24"/>
                </w:rPr>
              </m:ctrlPr>
            </m:sSupPr>
            <m:e>
              <m:r>
                <w:rPr>
                  <w:rFonts w:ascii="Times New Roman" w:hAnsi="Times New Roman" w:eastAsia="宋体" w:cs="Times New Roman"/>
                  <w:sz w:val="24"/>
                  <w:szCs w:val="24"/>
                </w:rPr>
                <m:t>L(N,D)=E+A N</m:t>
              </m:r>
              <m:ctrlPr>
                <w:rPr>
                  <w:rFonts w:ascii="Cambria Math" w:hAnsi="Cambria Math" w:eastAsia="宋体" w:cs="Times New Roman"/>
                  <w:sz w:val="24"/>
                  <w:szCs w:val="24"/>
                </w:rPr>
              </m:ctrlPr>
            </m:e>
            <m:sup>
              <m:r>
                <w:rPr>
                  <w:rFonts w:ascii="Times New Roman" w:hAnsi="Times New Roman" w:eastAsia="宋体" w:cs="Times New Roman"/>
                  <w:sz w:val="24"/>
                  <w:szCs w:val="24"/>
                </w:rPr>
                <m:t>−α</m:t>
              </m:r>
              <m:ctrlPr>
                <w:rPr>
                  <w:rFonts w:ascii="Cambria Math" w:hAnsi="Cambria Math" w:eastAsia="宋体" w:cs="Times New Roman"/>
                  <w:sz w:val="24"/>
                  <w:szCs w:val="24"/>
                </w:rPr>
              </m:ctrlPr>
            </m:sup>
          </m:sSup>
          <m:sSup>
            <m:sSupPr>
              <m:ctrlPr>
                <w:rPr>
                  <w:rFonts w:ascii="Cambria Math" w:hAnsi="Cambria Math" w:eastAsia="宋体" w:cs="Times New Roman"/>
                  <w:sz w:val="24"/>
                  <w:szCs w:val="24"/>
                </w:rPr>
              </m:ctrlPr>
            </m:sSupPr>
            <m:e>
              <m:r>
                <w:rPr>
                  <w:rFonts w:ascii="Times New Roman" w:hAnsi="Times New Roman" w:eastAsia="宋体" w:cs="Times New Roman"/>
                  <w:sz w:val="24"/>
                  <w:szCs w:val="24"/>
                </w:rPr>
                <m:t>+B D</m:t>
              </m:r>
              <m:ctrlPr>
                <w:rPr>
                  <w:rFonts w:ascii="Cambria Math" w:hAnsi="Cambria Math" w:eastAsia="宋体" w:cs="Times New Roman"/>
                  <w:sz w:val="24"/>
                  <w:szCs w:val="24"/>
                </w:rPr>
              </m:ctrlPr>
            </m:e>
            <m:sup>
              <m:r>
                <w:rPr>
                  <w:rFonts w:ascii="Times New Roman" w:hAnsi="Times New Roman" w:eastAsia="宋体" w:cs="Times New Roman"/>
                  <w:sz w:val="24"/>
                  <w:szCs w:val="24"/>
                </w:rPr>
                <m:t>−β</m:t>
              </m:r>
              <m:ctrlPr>
                <w:rPr>
                  <w:rFonts w:ascii="Cambria Math" w:hAnsi="Cambria Math" w:eastAsia="宋体" w:cs="Times New Roman"/>
                  <w:sz w:val="24"/>
                  <w:szCs w:val="24"/>
                </w:rPr>
              </m:ctrlPr>
            </m:sup>
          </m:sSup>
          <m:r>
            <w:rPr>
              <w:rFonts w:ascii="Times New Roman" w:hAnsi="Times New Roman" w:eastAsia="宋体" w:cs="Times New Roman"/>
              <w:sz w:val="24"/>
              <w:szCs w:val="24"/>
            </w:rPr>
            <m:t>,</m:t>
          </m:r>
        </m:oMath>
      </m:oMathPara>
    </w:p>
    <w:p w14:paraId="4783427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其中 </w:t>
      </w:r>
      <m:oMath>
        <m:r>
          <w:rPr>
            <w:rFonts w:ascii="Times New Roman" w:hAnsi="Times New Roman" w:eastAsia="宋体" w:cs="Times New Roman"/>
            <w:sz w:val="24"/>
            <w:szCs w:val="24"/>
          </w:rPr>
          <m:t>E</m:t>
        </m:r>
      </m:oMath>
      <w:r>
        <w:rPr>
          <w:rFonts w:ascii="Times New Roman" w:hAnsi="Times New Roman" w:eastAsia="宋体" w:cs="Times New Roman"/>
          <w:sz w:val="24"/>
          <w:szCs w:val="24"/>
        </w:rPr>
        <w:t xml:space="preserve"> 为不可约损失，</w:t>
      </w:r>
      <m:oMath>
        <m:r>
          <w:rPr>
            <w:rFonts w:ascii="Times New Roman" w:hAnsi="Times New Roman" w:eastAsia="宋体" w:cs="Times New Roman"/>
            <w:sz w:val="24"/>
            <w:szCs w:val="24"/>
          </w:rPr>
          <m:t>A,α,B,β</m:t>
        </m:r>
      </m:oMath>
      <w:r>
        <w:rPr>
          <w:rFonts w:ascii="Times New Roman" w:hAnsi="Times New Roman" w:eastAsia="宋体" w:cs="Times New Roman"/>
          <w:sz w:val="24"/>
          <w:szCs w:val="24"/>
        </w:rPr>
        <w:t xml:space="preserve"> 为待估参数。训练数据质量 </w:t>
      </w:r>
      <m:oMath>
        <m:r>
          <w:rPr>
            <w:rFonts w:ascii="Times New Roman" w:hAnsi="Times New Roman" w:eastAsia="宋体" w:cs="Times New Roman"/>
            <w:sz w:val="24"/>
            <w:szCs w:val="24"/>
          </w:rPr>
          <m:t>Q</m:t>
        </m:r>
      </m:oMath>
      <w:r>
        <w:rPr>
          <w:rFonts w:ascii="Times New Roman" w:hAnsi="Times New Roman" w:eastAsia="宋体" w:cs="Times New Roman"/>
          <w:sz w:val="24"/>
          <w:szCs w:val="24"/>
        </w:rPr>
        <w:t xml:space="preserve">、领域配比 </w:t>
      </w:r>
      <m:oMath>
        <m:r>
          <w:rPr>
            <w:rFonts w:ascii="Times New Roman" w:hAnsi="Times New Roman" w:eastAsia="宋体" w:cs="Times New Roman"/>
            <w:sz w:val="24"/>
            <w:szCs w:val="24"/>
          </w:rPr>
          <m:t>p</m:t>
        </m:r>
      </m:oMath>
      <w:r>
        <w:rPr>
          <w:rFonts w:ascii="Times New Roman" w:hAnsi="Times New Roman" w:eastAsia="宋体" w:cs="Times New Roman"/>
          <w:sz w:val="24"/>
          <w:szCs w:val="24"/>
        </w:rPr>
        <w:t xml:space="preserve"> 也可能影响 Loss，但未在上述公式中直接体现。模型能力还可用多维下游评测（Benchmark）得分表示；Benchmark 得分与 Loss 相关，但二者不等价。</w:t>
      </w:r>
    </w:p>
    <w:p w14:paraId="262A26B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扩大参数规模、增加训练数据、提高数据质量及处理更长的上下文都涉及算力开销。在算力预算有限的情况下，需要估计各投入对结果的影响，并求解资源配置方案。本题提供真实公开数据，以及明确标注的半合成、插值和估算数据；不要求实际训练大语言模型。</w:t>
      </w:r>
    </w:p>
    <w:p w14:paraId="49D289B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本题的主要变量及单位为：</w:t>
      </w:r>
      <m:oMath>
        <m:r>
          <w:rPr>
            <w:rFonts w:ascii="Times New Roman" w:hAnsi="Times New Roman" w:eastAsia="宋体" w:cs="Times New Roman"/>
            <w:sz w:val="24"/>
            <w:szCs w:val="24"/>
          </w:rPr>
          <m:t>N</m:t>
        </m:r>
      </m:oMath>
      <w:r>
        <w:rPr>
          <w:rFonts w:ascii="Times New Roman" w:hAnsi="Times New Roman" w:eastAsia="宋体" w:cs="Times New Roman"/>
          <w:sz w:val="24"/>
          <w:szCs w:val="24"/>
        </w:rPr>
        <w:t>（参数个数）、</w:t>
      </w:r>
      <m:oMath>
        <m:r>
          <w:rPr>
            <w:rFonts w:ascii="Times New Roman" w:hAnsi="Times New Roman" w:eastAsia="宋体" w:cs="Times New Roman"/>
            <w:sz w:val="24"/>
            <w:szCs w:val="24"/>
          </w:rPr>
          <m:t>D</m:t>
        </m:r>
      </m:oMath>
      <w:r>
        <w:rPr>
          <w:rFonts w:ascii="Times New Roman" w:hAnsi="Times New Roman" w:eastAsia="宋体" w:cs="Times New Roman"/>
          <w:sz w:val="24"/>
          <w:szCs w:val="24"/>
        </w:rPr>
        <w:t>（训练 Token 数）、</w:t>
      </w:r>
      <m:oMath>
        <m:r>
          <w:rPr>
            <w:rFonts w:ascii="Times New Roman" w:hAnsi="Times New Roman" w:eastAsia="宋体" w:cs="Times New Roman"/>
            <w:sz w:val="24"/>
            <w:szCs w:val="24"/>
          </w:rPr>
          <m:t>Q</m:t>
        </m:r>
      </m:oMath>
      <w:r>
        <w:rPr>
          <w:rFonts w:ascii="Times New Roman" w:hAnsi="Times New Roman" w:eastAsia="宋体" w:cs="Times New Roman"/>
          <w:sz w:val="24"/>
          <w:szCs w:val="24"/>
        </w:rPr>
        <w:t>（需定义尺度的数据质量）、</w:t>
      </w:r>
      <m:oMath>
        <m:r>
          <w:rPr>
            <w:rFonts w:ascii="Times New Roman" w:hAnsi="Times New Roman" w:eastAsia="宋体" w:cs="Times New Roman"/>
            <w:sz w:val="24"/>
            <w:szCs w:val="24"/>
          </w:rPr>
          <m:t>p</m:t>
        </m:r>
      </m:oMath>
      <w:r>
        <w:rPr>
          <w:rFonts w:ascii="Times New Roman" w:hAnsi="Times New Roman" w:eastAsia="宋体" w:cs="Times New Roman"/>
          <w:sz w:val="24"/>
          <w:szCs w:val="24"/>
        </w:rPr>
        <w:t>（17 个训练领域的占比向量）、</w:t>
      </w:r>
      <m:oMath>
        <m:r>
          <w:rPr>
            <w:rFonts w:ascii="Times New Roman" w:hAnsi="Times New Roman" w:eastAsia="宋体" w:cs="Times New Roman"/>
            <w:sz w:val="24"/>
            <w:szCs w:val="24"/>
          </w:rPr>
          <m:t>C</m:t>
        </m:r>
      </m:oMath>
      <w:r>
        <w:rPr>
          <w:rFonts w:ascii="Times New Roman" w:hAnsi="Times New Roman" w:eastAsia="宋体" w:cs="Times New Roman"/>
          <w:sz w:val="24"/>
          <w:szCs w:val="24"/>
        </w:rPr>
        <w:t>（总算力预算，FLOPs）、</w:t>
      </w:r>
      <m:oMath>
        <m:sSub>
          <m:sSubPr>
            <m:ctrlPr>
              <w:rPr>
                <w:rFonts w:ascii="Cambria Math" w:hAnsi="Cambria Math" w:eastAsia="宋体" w:cs="Times New Roman"/>
                <w:sz w:val="24"/>
                <w:szCs w:val="24"/>
              </w:rPr>
            </m:ctrlPr>
          </m:sSubPr>
          <m:e>
            <m:r>
              <w:rPr>
                <w:rFonts w:ascii="Times New Roman" w:hAnsi="Times New Roman" w:eastAsia="宋体" w:cs="Times New Roman"/>
                <w:sz w:val="24"/>
                <w:szCs w:val="24"/>
              </w:rPr>
              <m:t>L</m:t>
            </m:r>
            <m:ctrlPr>
              <w:rPr>
                <w:rFonts w:ascii="Cambria Math" w:hAnsi="Cambria Math" w:eastAsia="宋体" w:cs="Times New Roman"/>
                <w:sz w:val="24"/>
                <w:szCs w:val="24"/>
              </w:rPr>
            </m:ctrlPr>
          </m:e>
          <m:sub>
            <m:r>
              <w:rPr>
                <w:rFonts w:ascii="Times New Roman" w:hAnsi="Times New Roman" w:eastAsia="宋体" w:cs="Times New Roman"/>
                <w:sz w:val="24"/>
                <w:szCs w:val="24"/>
              </w:rPr>
              <m:t>ctx</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（上下文长度，Token）。Loss 越低越好；Benchmark 得分的方向与具体指标口径须说明。</w:t>
      </w:r>
    </w:p>
    <w:p w14:paraId="73C38D84">
      <w:pPr>
        <w:pStyle w:val="3"/>
        <w:numPr>
          <w:ilvl w:val="0"/>
          <w:numId w:val="7"/>
        </w:numPr>
        <w:topLinePunct w:val="0"/>
        <w:ind w:left="0" w:leftChars="0" w:firstLine="0" w:firstLineChars="0"/>
        <w:rPr>
          <w:rFonts w:hint="eastAsia" w:ascii="黑体" w:hAnsi="黑体" w:eastAsia="黑体" w:cs="黑体"/>
          <w:b w:val="0"/>
          <w:bdr w:val="none" w:sz="0" w:space="0"/>
        </w:rPr>
      </w:pPr>
      <w:r>
        <w:t>建模任务与共同要求</w:t>
      </w:r>
    </w:p>
    <w:p w14:paraId="339CF9B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四问依次完成数据质量与领域配比测量、广义标度律估计、预算约束优化、历史演进分析与能力前沿预测。前一问的结果应为后一问提供输入或可检验的约束。</w:t>
      </w:r>
    </w:p>
    <w:p w14:paraId="06512F1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请结合附件建立数学模型。除下文明确规定的定义、公式和数据使用要求外，数据预处理、模型形式、求解方法和评价指标由参赛队伍确定，并说明依据。各数据文件以 A1–A18、B1–B12、C1–C10 编号；编号与英文文件名、字段、数据性质和读取说明见随附《数据说明》。各问的强制数据清单另见附录 A。</w:t>
      </w:r>
    </w:p>
    <w:p w14:paraId="6E988408">
      <w:pPr>
        <w:pStyle w:val="4"/>
      </w:pPr>
      <w:r>
        <w:t>问题一：数据质量评价、质量冲突消解与领域配比建模</w:t>
      </w:r>
    </w:p>
    <w:p w14:paraId="2D26657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附件 A 包含质量信号数据 A1–A3 和配比实验数据 A4–A15。两组数据采用不同的领域分类体系；若将质量信息引入配比模型，应给出跨体系映射规则和假设，可参考 A16。</w:t>
      </w:r>
    </w:p>
    <w:p w14:paraId="3BE4DC17">
      <w:pPr>
        <w:pStyle w:val="19"/>
        <w:widowControl/>
        <w:numPr>
          <w:ilvl w:val="0"/>
          <w:numId w:val="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质量评价。 对 22 个质量指标预处理，将指标方向统一为“越高越好”；多维列表型指标须先压缩为标量。建立综合评价模型，给出样本级、语料级或领域级质量评分 </w:t>
      </w:r>
      <m:oMath>
        <m:r>
          <w:rPr>
            <w:rFonts w:ascii="Times New Roman" w:hAnsi="Times New Roman" w:eastAsia="宋体" w:cs="Times New Roman"/>
            <w:sz w:val="24"/>
            <w:szCs w:val="24"/>
          </w:rPr>
          <m:t>Q</m:t>
        </m:r>
      </m:oMath>
      <w:r>
        <w:rPr>
          <w:rFonts w:ascii="Times New Roman" w:hAnsi="Times New Roman" w:eastAsia="宋体" w:cs="Times New Roman"/>
          <w:sz w:val="24"/>
          <w:szCs w:val="24"/>
        </w:rPr>
        <w:t>，说明聚合方式。须使用 A1、A2、A3 的全部记录，给出扩展集的域级评分，并与 A1 抽样集结果对照；结合原始文本内容检验评分的合理性。</w:t>
      </w:r>
    </w:p>
    <w:p w14:paraId="7F360114">
      <w:pPr>
        <w:pStyle w:val="19"/>
        <w:widowControl/>
        <w:numPr>
          <w:ilvl w:val="0"/>
          <w:numId w:val="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质量冲突。 定义同一文本上不同指标显著不一致的情形，分析冲突成因，制定冲突消解和综合评价规则。分析须覆盖 A1，并在 A2、A3 上检验主要结论。</w:t>
      </w:r>
    </w:p>
    <w:p w14:paraId="226CEBF6">
      <w:pPr>
        <w:pStyle w:val="19"/>
        <w:widowControl/>
        <w:numPr>
          <w:ilvl w:val="0"/>
          <w:numId w:val="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领域配比。 利用 A4–A15 建立 17 域配比 </w:t>
      </w:r>
      <m:oMath>
        <m:r>
          <w:rPr>
            <w:rFonts w:ascii="Times New Roman" w:hAnsi="Times New Roman" w:eastAsia="宋体" w:cs="Times New Roman"/>
            <w:sz w:val="24"/>
            <w:szCs w:val="24"/>
          </w:rPr>
          <m:t>p</m:t>
        </m:r>
      </m:oMath>
      <w:r>
        <w:rPr>
          <w:rFonts w:ascii="Times New Roman" w:hAnsi="Times New Roman" w:eastAsia="宋体" w:cs="Times New Roman"/>
          <w:sz w:val="24"/>
          <w:szCs w:val="24"/>
        </w:rPr>
        <w:t xml:space="preserve"> 与 Loss 的定量关系，分析各领域及其组合的影响。配比须满足 </w:t>
      </w:r>
      <m:oMath>
        <m:sSub>
          <m:sSubPr>
            <m:ctrlPr>
              <w:rPr>
                <w:rFonts w:ascii="Cambria Math" w:hAnsi="Cambria Math" w:eastAsia="宋体" w:cs="Times New Roman"/>
                <w:sz w:val="24"/>
                <w:szCs w:val="24"/>
              </w:rPr>
            </m:ctrlPr>
          </m:sSubPr>
          <m:e>
            <m:r>
              <w:rPr>
                <w:rFonts w:ascii="Times New Roman" w:hAnsi="Times New Roman" w:eastAsia="宋体" w:cs="Times New Roman"/>
                <w:sz w:val="24"/>
                <w:szCs w:val="24"/>
              </w:rPr>
              <m:t>p</m:t>
            </m:r>
            <m:ctrlPr>
              <w:rPr>
                <w:rFonts w:ascii="Cambria Math" w:hAnsi="Cambria Math" w:eastAsia="宋体" w:cs="Times New Roman"/>
                <w:sz w:val="24"/>
                <w:szCs w:val="24"/>
              </w:rPr>
            </m:ctrlPr>
          </m:e>
          <m:sub>
            <m:r>
              <w:rPr>
                <w:rFonts w:ascii="Times New Roman" w:hAnsi="Times New Roman" w:eastAsia="宋体" w:cs="Times New Roman"/>
                <w:sz w:val="24"/>
                <w:szCs w:val="24"/>
              </w:rPr>
              <m:t>i</m:t>
            </m:r>
            <m:ctrlPr>
              <w:rPr>
                <w:rFonts w:ascii="Cambria Math" w:hAnsi="Cambria Math" w:eastAsia="宋体" w:cs="Times New Roman"/>
                <w:sz w:val="24"/>
                <w:szCs w:val="24"/>
              </w:rPr>
            </m:ctrlPr>
          </m:sub>
        </m:sSub>
        <m:r>
          <w:rPr>
            <w:rFonts w:ascii="Times New Roman" w:hAnsi="Times New Roman" w:eastAsia="宋体" w:cs="Times New Roman"/>
            <w:sz w:val="24"/>
            <w:szCs w:val="24"/>
          </w:rPr>
          <m:t>≥0</m:t>
        </m:r>
      </m:oMath>
      <w:r>
        <w:rPr>
          <w:rFonts w:ascii="Times New Roman" w:hAnsi="Times New Roman" w:eastAsia="宋体" w:cs="Times New Roman"/>
          <w:sz w:val="24"/>
          <w:szCs w:val="24"/>
        </w:rPr>
        <w:t xml:space="preserve"> 且 </w:t>
      </w:r>
      <m:oMath>
        <m:sSubSup>
          <m:sSubSupPr>
            <m:ctrlPr>
              <w:rPr>
                <w:rFonts w:ascii="Cambria Math" w:hAnsi="Cambria Math" w:eastAsia="宋体" w:cs="Times New Roman"/>
                <w:sz w:val="24"/>
                <w:szCs w:val="24"/>
              </w:rPr>
            </m:ctrlPr>
          </m:sSubSupPr>
          <m:e>
            <m:r>
              <w:rPr>
                <w:rFonts w:ascii="Times New Roman" w:hAnsi="Times New Roman" w:eastAsia="宋体" w:cs="Times New Roman"/>
                <w:sz w:val="24"/>
                <w:szCs w:val="24"/>
              </w:rPr>
              <m:t>∑</m:t>
            </m:r>
            <m:ctrlPr>
              <w:rPr>
                <w:rFonts w:ascii="Cambria Math" w:hAnsi="Cambria Math" w:eastAsia="宋体" w:cs="Times New Roman"/>
                <w:sz w:val="24"/>
                <w:szCs w:val="24"/>
              </w:rPr>
            </m:ctrlPr>
          </m:e>
          <m:sub>
            <m:r>
              <w:rPr>
                <w:rFonts w:ascii="Times New Roman" w:hAnsi="Times New Roman" w:eastAsia="宋体" w:cs="Times New Roman"/>
                <w:sz w:val="24"/>
                <w:szCs w:val="24"/>
              </w:rPr>
              <m:t>i=1</m:t>
            </m:r>
            <m:ctrlPr>
              <w:rPr>
                <w:rFonts w:ascii="Cambria Math" w:hAnsi="Cambria Math" w:eastAsia="宋体" w:cs="Times New Roman"/>
                <w:sz w:val="24"/>
                <w:szCs w:val="24"/>
              </w:rPr>
            </m:ctrlPr>
          </m:sub>
          <m:sup>
            <m:r>
              <w:rPr>
                <w:rFonts w:ascii="Times New Roman" w:hAnsi="Times New Roman" w:eastAsia="宋体" w:cs="Times New Roman"/>
                <w:sz w:val="24"/>
                <w:szCs w:val="24"/>
              </w:rPr>
              <m:t>17</m:t>
            </m:r>
            <m:ctrlPr>
              <w:rPr>
                <w:rFonts w:ascii="Cambria Math" w:hAnsi="Cambria Math" w:eastAsia="宋体" w:cs="Times New Roman"/>
                <w:sz w:val="24"/>
                <w:szCs w:val="24"/>
              </w:rPr>
            </m:ctrlPr>
          </m:sup>
        </m:sSubSup>
        <m:sSub>
          <m:sSubPr>
            <m:ctrlPr>
              <w:rPr>
                <w:rFonts w:ascii="Cambria Math" w:hAnsi="Cambria Math" w:eastAsia="宋体" w:cs="Times New Roman"/>
                <w:sz w:val="24"/>
                <w:szCs w:val="24"/>
              </w:rPr>
            </m:ctrlPr>
          </m:sSubPr>
          <m:e>
            <m:r>
              <w:rPr>
                <w:rFonts w:ascii="Times New Roman" w:hAnsi="Times New Roman" w:eastAsia="宋体" w:cs="Times New Roman"/>
                <w:sz w:val="24"/>
                <w:szCs w:val="24"/>
              </w:rPr>
              <m:t>p</m:t>
            </m:r>
            <m:ctrlPr>
              <w:rPr>
                <w:rFonts w:ascii="Cambria Math" w:hAnsi="Cambria Math" w:eastAsia="宋体" w:cs="Times New Roman"/>
                <w:sz w:val="24"/>
                <w:szCs w:val="24"/>
              </w:rPr>
            </m:ctrlPr>
          </m:e>
          <m:sub>
            <m:r>
              <w:rPr>
                <w:rFonts w:ascii="Times New Roman" w:hAnsi="Times New Roman" w:eastAsia="宋体" w:cs="Times New Roman"/>
                <w:sz w:val="24"/>
                <w:szCs w:val="24"/>
              </w:rPr>
              <m:t>i</m:t>
            </m:r>
            <m:ctrlPr>
              <w:rPr>
                <w:rFonts w:ascii="Cambria Math" w:hAnsi="Cambria Math" w:eastAsia="宋体" w:cs="Times New Roman"/>
                <w:sz w:val="24"/>
                <w:szCs w:val="24"/>
              </w:rPr>
            </m:ctrlPr>
          </m:sub>
        </m:sSub>
        <m:r>
          <w:rPr>
            <w:rFonts w:ascii="Times New Roman" w:hAnsi="Times New Roman" w:eastAsia="宋体" w:cs="Times New Roman"/>
            <w:sz w:val="24"/>
            <w:szCs w:val="24"/>
          </w:rPr>
          <m:t>=1</m:t>
        </m:r>
      </m:oMath>
      <w:r>
        <w:rPr>
          <w:rFonts w:ascii="Times New Roman" w:hAnsi="Times New Roman" w:eastAsia="宋体" w:cs="Times New Roman"/>
          <w:sz w:val="24"/>
          <w:szCs w:val="24"/>
        </w:rPr>
        <w:t xml:space="preserve">。是否引入 </w:t>
      </w:r>
      <m:oMath>
        <m:r>
          <w:rPr>
            <w:rFonts w:ascii="Times New Roman" w:hAnsi="Times New Roman" w:eastAsia="宋体" w:cs="Times New Roman"/>
            <w:sz w:val="24"/>
            <w:szCs w:val="24"/>
          </w:rPr>
          <m:t>Q</m:t>
        </m:r>
      </m:oMath>
      <w:r>
        <w:rPr>
          <w:rFonts w:ascii="Times New Roman" w:hAnsi="Times New Roman" w:eastAsia="宋体" w:cs="Times New Roman"/>
          <w:sz w:val="24"/>
          <w:szCs w:val="24"/>
        </w:rPr>
        <w:t>、如何引入，均须论证。须在 A6–A11 检验集上验证，并利用 A12–A15 外推表讨论稳健性；配比表与对应 Loss 表须成对使用。</w:t>
      </w:r>
    </w:p>
    <w:p w14:paraId="51619269">
      <w:pPr>
        <w:pStyle w:val="4"/>
        <w:rPr>
          <w:rFonts w:hint="default" w:eastAsia="黑体"/>
          <w:lang w:val="en-US" w:eastAsia="zh-CN"/>
        </w:rPr>
      </w:pPr>
      <w:r>
        <w:t>问题二：跨数据来源的</w:t>
      </w:r>
      <w:r>
        <w:rPr>
          <w:rFonts w:hint="eastAsia"/>
          <w:lang w:val="en-US" w:eastAsia="zh-CN"/>
        </w:rPr>
        <w:t>Scaling Law</w:t>
      </w:r>
      <w:bookmarkStart w:id="0" w:name="_GoBack"/>
      <w:bookmarkEnd w:id="0"/>
    </w:p>
    <w:p w14:paraId="0602971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在问题一结果基础上，建立同时包含 </w:t>
      </w:r>
      <m:oMath>
        <m:r>
          <w:rPr>
            <w:rFonts w:ascii="Times New Roman" w:hAnsi="Times New Roman" w:eastAsia="宋体" w:cs="Times New Roman"/>
            <w:sz w:val="24"/>
            <w:szCs w:val="24"/>
          </w:rPr>
          <m:t>N,D,Q,p</m:t>
        </m:r>
      </m:oMath>
      <w:r>
        <w:rPr>
          <w:rFonts w:ascii="Times New Roman" w:hAnsi="Times New Roman" w:eastAsia="宋体" w:cs="Times New Roman"/>
          <w:sz w:val="24"/>
          <w:szCs w:val="24"/>
        </w:rPr>
        <w:t xml:space="preserve"> 的广义 Loss 函数。附件 A 的信息通过问题一输出引入，本问直接使用附件 B。A、B 的实验相互独立，须提出可检验的假设，说明如何将不同来源的规律结合到同一模型。若要求模型在 </w:t>
      </w:r>
      <m:oMath>
        <m:r>
          <w:rPr>
            <w:rFonts w:ascii="Times New Roman" w:hAnsi="Times New Roman" w:eastAsia="宋体" w:cs="Times New Roman"/>
            <w:sz w:val="24"/>
            <w:szCs w:val="24"/>
          </w:rPr>
          <m:t>Q=1</m:t>
        </m:r>
      </m:oMath>
      <w:r>
        <w:rPr>
          <w:rFonts w:ascii="Times New Roman" w:hAnsi="Times New Roman" w:eastAsia="宋体" w:cs="Times New Roman"/>
          <w:sz w:val="24"/>
          <w:szCs w:val="24"/>
        </w:rPr>
        <w:t xml:space="preserve"> 等条件下退化为经典标度律，应说明该约束依据。</w:t>
      </w:r>
    </w:p>
    <w:p w14:paraId="46A6FB9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须估计模型参数并进行检验与验证；分析各因素的边际效用和弹性，讨论不同领域数据的替代或互补关系，推导提高质量与扩大参数规模能够相互替代的条件，并给出定量比较方法（包括质量评分变化 </w:t>
      </w:r>
      <m:oMath>
        <m:r>
          <w:rPr>
            <w:rFonts w:ascii="Times New Roman" w:hAnsi="Times New Roman" w:eastAsia="宋体" w:cs="Times New Roman"/>
            <w:sz w:val="24"/>
            <w:szCs w:val="24"/>
          </w:rPr>
          <m:t>0.1</m:t>
        </m:r>
      </m:oMath>
      <w:r>
        <w:rPr>
          <w:rFonts w:ascii="Times New Roman" w:hAnsi="Times New Roman" w:eastAsia="宋体" w:cs="Times New Roman"/>
          <w:sz w:val="24"/>
          <w:szCs w:val="24"/>
        </w:rPr>
        <w:t xml:space="preserve"> 对应的参数规模变化）。</w:t>
      </w:r>
    </w:p>
    <w:p w14:paraId="6025122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B1 是经典标度律的主要拟合数据；须使用 B2 或 B3 之一做模型族外或轨迹验证，使用 B4、B5 做跨族和文献数据验证，使用 B6（或 B7、B8）分析质量效应，并结合 B9、B10 讨论百亿参数以上外推。B6–B8 是经真实数据校准的半合成数据，B10 为估算数据；不得将其表述为直接实验观测，须说明可信度及外推局限。B11、B12 为辅助数据。</w:t>
      </w:r>
    </w:p>
    <w:p w14:paraId="2E571307">
      <w:pPr>
        <w:pStyle w:val="4"/>
      </w:pPr>
      <w:r>
        <w:t>问题三：算力预算下的联合优化与结构性转移</w:t>
      </w:r>
    </w:p>
    <w:p w14:paraId="598943E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利用前两问的模型，在总算力预算 </w:t>
      </w:r>
      <m:oMath>
        <m:r>
          <w:rPr>
            <w:rFonts w:ascii="Times New Roman" w:hAnsi="Times New Roman" w:eastAsia="宋体" w:cs="Times New Roman"/>
            <w:sz w:val="24"/>
            <w:szCs w:val="24"/>
          </w:rPr>
          <m:t>C</m:t>
        </m:r>
      </m:oMath>
      <w:r>
        <w:rPr>
          <w:rFonts w:ascii="Times New Roman" w:hAnsi="Times New Roman" w:eastAsia="宋体" w:cs="Times New Roman"/>
          <w:sz w:val="24"/>
          <w:szCs w:val="24"/>
        </w:rPr>
        <w:t xml:space="preserve"> 内配置 </w:t>
      </w:r>
      <m:oMath>
        <m:r>
          <w:rPr>
            <w:rFonts w:ascii="Times New Roman" w:hAnsi="Times New Roman" w:eastAsia="宋体" w:cs="Times New Roman"/>
            <w:sz w:val="24"/>
            <w:szCs w:val="24"/>
          </w:rPr>
          <m:t>N,D,Q,p</m:t>
        </m:r>
      </m:oMath>
      <w:r>
        <w:rPr>
          <w:rFonts w:ascii="Times New Roman" w:hAnsi="Times New Roman" w:eastAsia="宋体" w:cs="Times New Roman"/>
          <w:sz w:val="24"/>
          <w:szCs w:val="24"/>
        </w:rPr>
        <w:t xml:space="preserve">，以改善预测的 Loss。领域配比可作为联立决策变量，也可由前两问结果确定，但须说明理由。上下文长度 </w:t>
      </w:r>
      <m:oMath>
        <m:sSub>
          <m:sSubPr>
            <m:ctrlPr>
              <w:rPr>
                <w:rFonts w:ascii="Cambria Math" w:hAnsi="Cambria Math" w:eastAsia="宋体" w:cs="Times New Roman"/>
                <w:sz w:val="24"/>
                <w:szCs w:val="24"/>
              </w:rPr>
            </m:ctrlPr>
          </m:sSubPr>
          <m:e>
            <m:r>
              <w:rPr>
                <w:rFonts w:ascii="Times New Roman" w:hAnsi="Times New Roman" w:eastAsia="宋体" w:cs="Times New Roman"/>
                <w:sz w:val="24"/>
                <w:szCs w:val="24"/>
              </w:rPr>
              <m:t>L</m:t>
            </m:r>
            <m:ctrlPr>
              <w:rPr>
                <w:rFonts w:ascii="Cambria Math" w:hAnsi="Cambria Math" w:eastAsia="宋体" w:cs="Times New Roman"/>
                <w:sz w:val="24"/>
                <w:szCs w:val="24"/>
              </w:rPr>
            </m:ctrlPr>
          </m:e>
          <m:sub>
            <m:r>
              <w:rPr>
                <w:rFonts w:ascii="Times New Roman" w:hAnsi="Times New Roman" w:eastAsia="宋体" w:cs="Times New Roman"/>
                <w:sz w:val="24"/>
                <w:szCs w:val="24"/>
              </w:rPr>
              <m:t>ctx</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 xml:space="preserve"> 是依据 C7 和任务需求给定的外生情景变量，不能作为内点寻优变量。</w:t>
      </w:r>
    </w:p>
    <w:p w14:paraId="65020E3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计算成本由三部分构成：</w:t>
      </w:r>
    </w:p>
    <w:p w14:paraId="106C0BED">
      <w:pPr>
        <w:jc w:val="center"/>
      </w:pPr>
      <m:oMathPara>
        <m:oMath>
          <m:sSub>
            <m:sSubPr/>
            <m:e>
              <m:r>
                <m:rPr/>
                <m:t>C</m:t>
              </m:r>
            </m:e>
            <m:sub>
              <m:r>
                <m:rPr/>
                <m:t>train</m:t>
              </m:r>
            </m:sub>
          </m:sSub>
          <m:r>
            <m:rPr/>
            <m:t>=6ND,</m:t>
          </m:r>
        </m:oMath>
      </m:oMathPara>
    </w:p>
    <w:p w14:paraId="3B2B26D0">
      <w:pPr>
        <w:pStyle w:val="19"/>
        <w:widowControl/>
        <w:rPr>
          <w:rFonts w:ascii="Times New Roman" w:hAnsi="Times New Roman" w:eastAsia="宋体" w:cs="Times New Roman"/>
          <w:sz w:val="24"/>
          <w:szCs w:val="24"/>
        </w:rPr>
      </w:pPr>
      <m:oMathPara>
        <m:oMath>
          <m:sSub>
            <m:sSubPr>
              <m:ctrlPr>
                <w:rPr>
                  <w:rFonts w:ascii="Cambria Math" w:hAnsi="Cambria Math" w:eastAsia="宋体" w:cs="Times New Roman"/>
                  <w:sz w:val="24"/>
                  <w:szCs w:val="24"/>
                </w:rPr>
              </m:ctrlPr>
            </m:sSubPr>
            <m:e>
              <m:r>
                <w:rPr>
                  <w:rFonts w:ascii="Times New Roman" w:hAnsi="Times New Roman" w:eastAsia="宋体" w:cs="Times New Roman"/>
                  <w:sz w:val="24"/>
                  <w:szCs w:val="24"/>
                </w:rPr>
                <m:t>C</m:t>
              </m:r>
              <m:ctrlPr>
                <w:rPr>
                  <w:rFonts w:ascii="Cambria Math" w:hAnsi="Cambria Math" w:eastAsia="宋体" w:cs="Times New Roman"/>
                  <w:sz w:val="24"/>
                  <w:szCs w:val="24"/>
                </w:rPr>
              </m:ctrlPr>
            </m:e>
            <m:sub>
              <m:r>
                <w:rPr>
                  <w:rFonts w:ascii="Times New Roman" w:hAnsi="Times New Roman" w:eastAsia="宋体" w:cs="Times New Roman"/>
                  <w:sz w:val="24"/>
                  <w:szCs w:val="24"/>
                </w:rPr>
                <m:t>Q</m:t>
              </m:r>
              <m:ctrlPr>
                <w:rPr>
                  <w:rFonts w:ascii="Cambria Math" w:hAnsi="Cambria Math" w:eastAsia="宋体" w:cs="Times New Roman"/>
                  <w:sz w:val="24"/>
                  <w:szCs w:val="24"/>
                </w:rPr>
              </m:ctrlPr>
            </m:sub>
          </m:sSub>
          <m:r>
            <w:rPr>
              <w:rFonts w:ascii="Times New Roman" w:hAnsi="Times New Roman" w:eastAsia="宋体" w:cs="Times New Roman"/>
              <w:sz w:val="24"/>
              <w:szCs w:val="24"/>
            </w:rPr>
            <m:t xml:space="preserve">=D </m:t>
          </m:r>
          <m:sSub>
            <m:sSubPr>
              <m:ctrlPr>
                <w:rPr>
                  <w:rFonts w:ascii="Cambria Math" w:hAnsi="Cambria Math" w:eastAsia="宋体" w:cs="Times New Roman"/>
                  <w:sz w:val="24"/>
                  <w:szCs w:val="24"/>
                </w:rPr>
              </m:ctrlPr>
            </m:sSubPr>
            <m:e>
              <m:r>
                <w:rPr>
                  <w:rFonts w:ascii="Times New Roman" w:hAnsi="Times New Roman" w:eastAsia="宋体" w:cs="Times New Roman"/>
                  <w:sz w:val="24"/>
                  <w:szCs w:val="24"/>
                </w:rPr>
                <m:t>[g(Q)−g(Q</m:t>
              </m:r>
              <m:ctrlPr>
                <w:rPr>
                  <w:rFonts w:ascii="Cambria Math" w:hAnsi="Cambria Math" w:eastAsia="宋体" w:cs="Times New Roman"/>
                  <w:sz w:val="24"/>
                  <w:szCs w:val="24"/>
                </w:rPr>
              </m:ctrlPr>
            </m:e>
            <m:sub>
              <m:r>
                <w:rPr>
                  <w:rFonts w:ascii="Times New Roman" w:hAnsi="Times New Roman" w:eastAsia="宋体" w:cs="Times New Roman"/>
                  <w:sz w:val="24"/>
                  <w:szCs w:val="24"/>
                </w:rPr>
                <m:t>0</m:t>
              </m:r>
              <m:ctrlPr>
                <w:rPr>
                  <w:rFonts w:ascii="Cambria Math" w:hAnsi="Cambria Math" w:eastAsia="宋体" w:cs="Times New Roman"/>
                  <w:sz w:val="24"/>
                  <w:szCs w:val="24"/>
                </w:rPr>
              </m:ctrlPr>
            </m:sub>
          </m:sSub>
          <m:sSub>
            <m:sSubPr>
              <m:ctrlPr>
                <w:rPr>
                  <w:rFonts w:ascii="Cambria Math" w:hAnsi="Cambria Math" w:eastAsia="宋体" w:cs="Times New Roman"/>
                  <w:sz w:val="24"/>
                  <w:szCs w:val="24"/>
                </w:rPr>
              </m:ctrlPr>
            </m:sSubPr>
            <m:e>
              <m:r>
                <w:rPr>
                  <w:rFonts w:ascii="Times New Roman" w:hAnsi="Times New Roman" w:eastAsia="宋体" w:cs="Times New Roman"/>
                  <w:sz w:val="24"/>
                  <w:szCs w:val="24"/>
                </w:rPr>
                <m:t>)]</m:t>
              </m:r>
              <m:ctrlPr>
                <w:rPr>
                  <w:rFonts w:ascii="Cambria Math" w:hAnsi="Cambria Math" w:eastAsia="宋体" w:cs="Times New Roman"/>
                  <w:sz w:val="24"/>
                  <w:szCs w:val="24"/>
                </w:rPr>
              </m:ctrlPr>
            </m:e>
            <m:sub>
              <m:r>
                <w:rPr>
                  <w:rFonts w:ascii="Times New Roman" w:hAnsi="Times New Roman" w:eastAsia="宋体" w:cs="Times New Roman"/>
                  <w:sz w:val="24"/>
                  <w:szCs w:val="24"/>
                </w:rPr>
                <m:t>+</m:t>
              </m:r>
              <m:ctrlPr>
                <w:rPr>
                  <w:rFonts w:ascii="Cambria Math" w:hAnsi="Cambria Math" w:eastAsia="宋体" w:cs="Times New Roman"/>
                  <w:sz w:val="24"/>
                  <w:szCs w:val="24"/>
                </w:rPr>
              </m:ctrlPr>
            </m:sub>
          </m:sSub>
          <m:r>
            <w:rPr>
              <w:rFonts w:ascii="Times New Roman" w:hAnsi="Times New Roman" w:eastAsia="宋体" w:cs="Times New Roman"/>
              <w:sz w:val="24"/>
              <w:szCs w:val="24"/>
            </w:rPr>
            <m:t>,</m:t>
          </m:r>
        </m:oMath>
      </m:oMathPara>
    </w:p>
    <w:p w14:paraId="77795800">
      <w:pPr>
        <w:pStyle w:val="19"/>
        <w:widowControl/>
        <w:rPr>
          <w:rFonts w:ascii="Times New Roman" w:hAnsi="Times New Roman" w:eastAsia="宋体" w:cs="Times New Roman"/>
          <w:sz w:val="24"/>
          <w:szCs w:val="24"/>
        </w:rPr>
      </w:pPr>
      <m:oMathPara>
        <m:oMath>
          <m:sSub>
            <m:sSubPr>
              <m:ctrlPr>
                <w:rPr>
                  <w:rFonts w:ascii="Cambria Math" w:hAnsi="Cambria Math" w:eastAsia="宋体" w:cs="Times New Roman"/>
                  <w:sz w:val="24"/>
                  <w:szCs w:val="24"/>
                </w:rPr>
              </m:ctrlPr>
            </m:sSubPr>
            <m:e>
              <m:r>
                <w:rPr>
                  <w:rFonts w:ascii="Times New Roman" w:hAnsi="Times New Roman" w:eastAsia="宋体" w:cs="Times New Roman"/>
                  <w:sz w:val="24"/>
                  <w:szCs w:val="24"/>
                </w:rPr>
                <m:t>C</m:t>
              </m:r>
              <m:ctrlPr>
                <w:rPr>
                  <w:rFonts w:ascii="Cambria Math" w:hAnsi="Cambria Math" w:eastAsia="宋体" w:cs="Times New Roman"/>
                  <w:sz w:val="24"/>
                  <w:szCs w:val="24"/>
                </w:rPr>
              </m:ctrlPr>
            </m:e>
            <m:sub>
              <m:r>
                <w:rPr>
                  <w:rFonts w:ascii="Times New Roman" w:hAnsi="Times New Roman" w:eastAsia="宋体" w:cs="Times New Roman"/>
                  <w:sz w:val="24"/>
                  <w:szCs w:val="24"/>
                </w:rPr>
                <m:t>attn</m:t>
              </m:r>
              <m:ctrlPr>
                <w:rPr>
                  <w:rFonts w:ascii="Cambria Math" w:hAnsi="Cambria Math" w:eastAsia="宋体" w:cs="Times New Roman"/>
                  <w:sz w:val="24"/>
                  <w:szCs w:val="24"/>
                </w:rPr>
              </m:ctrlPr>
            </m:sub>
          </m:sSub>
          <m:r>
            <w:rPr>
              <w:rFonts w:ascii="Times New Roman" w:hAnsi="Times New Roman" w:eastAsia="宋体" w:cs="Times New Roman"/>
              <w:sz w:val="24"/>
              <w:szCs w:val="24"/>
            </w:rPr>
            <m:t>=η</m:t>
          </m:r>
          <m:sSub>
            <m:sSubPr>
              <m:ctrlPr>
                <w:rPr>
                  <w:rFonts w:ascii="Cambria Math" w:hAnsi="Cambria Math" w:eastAsia="宋体" w:cs="Times New Roman"/>
                  <w:sz w:val="24"/>
                  <w:szCs w:val="24"/>
                </w:rPr>
              </m:ctrlPr>
            </m:sSubPr>
            <m:e>
              <m:r>
                <w:rPr>
                  <w:rFonts w:ascii="Times New Roman" w:hAnsi="Times New Roman" w:eastAsia="宋体" w:cs="Times New Roman"/>
                  <w:sz w:val="24"/>
                  <w:szCs w:val="24"/>
                </w:rPr>
                <m:t xml:space="preserve"> ND L</m:t>
              </m:r>
              <m:ctrlPr>
                <w:rPr>
                  <w:rFonts w:ascii="Cambria Math" w:hAnsi="Cambria Math" w:eastAsia="宋体" w:cs="Times New Roman"/>
                  <w:sz w:val="24"/>
                  <w:szCs w:val="24"/>
                </w:rPr>
              </m:ctrlPr>
            </m:e>
            <m:sub>
              <m:r>
                <w:rPr>
                  <w:rFonts w:ascii="Times New Roman" w:hAnsi="Times New Roman" w:eastAsia="宋体" w:cs="Times New Roman"/>
                  <w:sz w:val="24"/>
                  <w:szCs w:val="24"/>
                </w:rPr>
                <m:t>ctx</m:t>
              </m:r>
              <m:ctrlPr>
                <w:rPr>
                  <w:rFonts w:ascii="Cambria Math" w:hAnsi="Cambria Math" w:eastAsia="宋体" w:cs="Times New Roman"/>
                  <w:sz w:val="24"/>
                  <w:szCs w:val="24"/>
                </w:rPr>
              </m:ctrlPr>
            </m:sub>
          </m:sSub>
          <m:r>
            <w:rPr>
              <w:rFonts w:ascii="Times New Roman" w:hAnsi="Times New Roman" w:eastAsia="宋体" w:cs="Times New Roman"/>
              <w:sz w:val="24"/>
              <w:szCs w:val="24"/>
            </w:rPr>
            <m:t>,     η=2×</m:t>
          </m:r>
          <m:sSup>
            <m:sSupPr>
              <m:ctrlPr>
                <w:rPr>
                  <w:rFonts w:ascii="Cambria Math" w:hAnsi="Cambria Math" w:eastAsia="宋体" w:cs="Times New Roman"/>
                  <w:sz w:val="24"/>
                  <w:szCs w:val="24"/>
                </w:rPr>
              </m:ctrlPr>
            </m:sSupPr>
            <m:e>
              <m:r>
                <w:rPr>
                  <w:rFonts w:ascii="Times New Roman" w:hAnsi="Times New Roman" w:eastAsia="宋体" w:cs="Times New Roman"/>
                  <w:sz w:val="24"/>
                  <w:szCs w:val="24"/>
                </w:rPr>
                <m:t>10</m:t>
              </m:r>
              <m:ctrlPr>
                <w:rPr>
                  <w:rFonts w:ascii="Cambria Math" w:hAnsi="Cambria Math" w:eastAsia="宋体" w:cs="Times New Roman"/>
                  <w:sz w:val="24"/>
                  <w:szCs w:val="24"/>
                </w:rPr>
              </m:ctrlPr>
            </m:e>
            <m:sup>
              <m:r>
                <w:rPr>
                  <w:rFonts w:ascii="Times New Roman" w:hAnsi="Times New Roman" w:eastAsia="宋体" w:cs="Times New Roman"/>
                  <w:sz w:val="24"/>
                  <w:szCs w:val="24"/>
                </w:rPr>
                <m:t>−4</m:t>
              </m:r>
              <m:ctrlPr>
                <w:rPr>
                  <w:rFonts w:ascii="Cambria Math" w:hAnsi="Cambria Math" w:eastAsia="宋体" w:cs="Times New Roman"/>
                  <w:sz w:val="24"/>
                  <w:szCs w:val="24"/>
                </w:rPr>
              </m:ctrlPr>
            </m:sup>
          </m:sSup>
          <m:r>
            <w:rPr>
              <w:rFonts w:ascii="Times New Roman" w:hAnsi="Times New Roman" w:eastAsia="宋体" w:cs="Times New Roman"/>
              <w:sz w:val="24"/>
              <w:szCs w:val="24"/>
            </w:rPr>
            <m:t>,</m:t>
          </m:r>
        </m:oMath>
      </m:oMathPara>
    </w:p>
    <w:p w14:paraId="342E1D8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其中 </w:t>
      </w:r>
      <m:oMath>
        <m:sSub>
          <m:sSubPr>
            <m:ctrlPr>
              <w:rPr>
                <w:rFonts w:ascii="Cambria Math" w:hAnsi="Cambria Math" w:eastAsia="宋体" w:cs="Times New Roman"/>
                <w:sz w:val="24"/>
                <w:szCs w:val="24"/>
              </w:rPr>
            </m:ctrlPr>
          </m:sSubPr>
          <m:e>
            <m:r>
              <w:rPr>
                <w:rFonts w:ascii="Times New Roman" w:hAnsi="Times New Roman" w:eastAsia="宋体" w:cs="Times New Roman"/>
                <w:sz w:val="24"/>
                <w:szCs w:val="24"/>
              </w:rPr>
              <m:t>Q</m:t>
            </m:r>
            <m:ctrlPr>
              <w:rPr>
                <w:rFonts w:ascii="Cambria Math" w:hAnsi="Cambria Math" w:eastAsia="宋体" w:cs="Times New Roman"/>
                <w:sz w:val="24"/>
                <w:szCs w:val="24"/>
              </w:rPr>
            </m:ctrlPr>
          </m:e>
          <m:sub>
            <m:r>
              <w:rPr>
                <w:rFonts w:ascii="Times New Roman" w:hAnsi="Times New Roman" w:eastAsia="宋体" w:cs="Times New Roman"/>
                <w:sz w:val="24"/>
                <w:szCs w:val="24"/>
              </w:rPr>
              <m:t>0</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 xml:space="preserve"> 为基线质量，</w:t>
      </w:r>
      <m:oMath>
        <m:r>
          <w:rPr>
            <w:rFonts w:ascii="Times New Roman" w:hAnsi="Times New Roman" w:eastAsia="宋体" w:cs="Times New Roman"/>
            <w:sz w:val="24"/>
            <w:szCs w:val="24"/>
          </w:rPr>
          <m:t>Q∈(0,1]</m:t>
        </m:r>
      </m:oMath>
      <w:r>
        <w:rPr>
          <w:rFonts w:ascii="Times New Roman" w:hAnsi="Times New Roman" w:eastAsia="宋体" w:cs="Times New Roman"/>
          <w:sz w:val="24"/>
          <w:szCs w:val="24"/>
        </w:rPr>
        <w:t>，</w:t>
      </w:r>
      <m:oMath>
        <m:sSub>
          <m:sSubPr>
            <m:ctrlPr>
              <w:rPr>
                <w:rFonts w:ascii="Cambria Math" w:hAnsi="Cambria Math" w:eastAsia="宋体" w:cs="Times New Roman"/>
                <w:sz w:val="24"/>
                <w:szCs w:val="24"/>
              </w:rPr>
            </m:ctrlPr>
          </m:sSubPr>
          <m:e>
            <m:r>
              <w:rPr>
                <w:rFonts w:ascii="Times New Roman" w:hAnsi="Times New Roman" w:eastAsia="宋体" w:cs="Times New Roman"/>
                <w:sz w:val="24"/>
                <w:szCs w:val="24"/>
              </w:rPr>
              <m:t>[x]</m:t>
            </m:r>
            <m:ctrlPr>
              <w:rPr>
                <w:rFonts w:ascii="Cambria Math" w:hAnsi="Cambria Math" w:eastAsia="宋体" w:cs="Times New Roman"/>
                <w:sz w:val="24"/>
                <w:szCs w:val="24"/>
              </w:rPr>
            </m:ctrlPr>
          </m:e>
          <m:sub>
            <m:r>
              <w:rPr>
                <w:rFonts w:ascii="Times New Roman" w:hAnsi="Times New Roman" w:eastAsia="宋体" w:cs="Times New Roman"/>
                <w:sz w:val="24"/>
                <w:szCs w:val="24"/>
              </w:rPr>
              <m:t>+</m:t>
            </m:r>
            <m:ctrlPr>
              <w:rPr>
                <w:rFonts w:ascii="Cambria Math" w:hAnsi="Cambria Math" w:eastAsia="宋体" w:cs="Times New Roman"/>
                <w:sz w:val="24"/>
                <w:szCs w:val="24"/>
              </w:rPr>
            </m:ctrlPr>
          </m:sub>
        </m:sSub>
        <m:r>
          <w:rPr>
            <w:rFonts w:ascii="Times New Roman" w:hAnsi="Times New Roman" w:eastAsia="宋体" w:cs="Times New Roman"/>
            <w:sz w:val="24"/>
            <w:szCs w:val="24"/>
          </w:rPr>
          <m:t>=max(x,0)</m:t>
        </m:r>
      </m:oMath>
      <w:r>
        <w:rPr>
          <w:rFonts w:ascii="Times New Roman" w:hAnsi="Times New Roman" w:eastAsia="宋体" w:cs="Times New Roman"/>
          <w:sz w:val="24"/>
          <w:szCs w:val="24"/>
        </w:rPr>
        <w:t xml:space="preserve">。训练、质量处理和注意力计算默认使用同一 </w:t>
      </w:r>
      <m:oMath>
        <m:r>
          <w:rPr>
            <w:rFonts w:ascii="Times New Roman" w:hAnsi="Times New Roman" w:eastAsia="宋体" w:cs="Times New Roman"/>
            <w:sz w:val="24"/>
            <w:szCs w:val="24"/>
          </w:rPr>
          <m:t>D</m:t>
        </m:r>
      </m:oMath>
      <w:r>
        <w:rPr>
          <w:rFonts w:ascii="Times New Roman" w:hAnsi="Times New Roman" w:eastAsia="宋体" w:cs="Times New Roman"/>
          <w:sz w:val="24"/>
          <w:szCs w:val="24"/>
        </w:rPr>
        <w:t xml:space="preserve">。优化方案须满足 </w:t>
      </w:r>
      <m:oMath>
        <m:sSub>
          <m:sSubPr>
            <m:ctrlPr>
              <w:rPr>
                <w:rFonts w:ascii="Cambria Math" w:hAnsi="Cambria Math" w:eastAsia="宋体" w:cs="Times New Roman"/>
                <w:sz w:val="24"/>
                <w:szCs w:val="24"/>
              </w:rPr>
            </m:ctrlPr>
          </m:sSubPr>
          <m:e>
            <m:r>
              <w:rPr>
                <w:rFonts w:ascii="Times New Roman" w:hAnsi="Times New Roman" w:eastAsia="宋体" w:cs="Times New Roman"/>
                <w:sz w:val="24"/>
                <w:szCs w:val="24"/>
              </w:rPr>
              <m:t>C</m:t>
            </m:r>
            <m:ctrlPr>
              <w:rPr>
                <w:rFonts w:ascii="Cambria Math" w:hAnsi="Cambria Math" w:eastAsia="宋体" w:cs="Times New Roman"/>
                <w:sz w:val="24"/>
                <w:szCs w:val="24"/>
              </w:rPr>
            </m:ctrlPr>
          </m:e>
          <m:sub>
            <m:r>
              <w:rPr>
                <w:rFonts w:ascii="Times New Roman" w:hAnsi="Times New Roman" w:eastAsia="宋体" w:cs="Times New Roman"/>
                <w:sz w:val="24"/>
                <w:szCs w:val="24"/>
              </w:rPr>
              <m:t>train</m:t>
            </m:r>
            <m:ctrlPr>
              <w:rPr>
                <w:rFonts w:ascii="Cambria Math" w:hAnsi="Cambria Math" w:eastAsia="宋体" w:cs="Times New Roman"/>
                <w:sz w:val="24"/>
                <w:szCs w:val="24"/>
              </w:rPr>
            </m:ctrlPr>
          </m:sub>
        </m:sSub>
        <m:sSub>
          <m:sSubPr>
            <m:ctrlPr>
              <w:rPr>
                <w:rFonts w:ascii="Cambria Math" w:hAnsi="Cambria Math" w:eastAsia="宋体" w:cs="Times New Roman"/>
                <w:sz w:val="24"/>
                <w:szCs w:val="24"/>
              </w:rPr>
            </m:ctrlPr>
          </m:sSubPr>
          <m:e>
            <m:r>
              <w:rPr>
                <w:rFonts w:ascii="Times New Roman" w:hAnsi="Times New Roman" w:eastAsia="宋体" w:cs="Times New Roman"/>
                <w:sz w:val="24"/>
                <w:szCs w:val="24"/>
              </w:rPr>
              <m:t>+C</m:t>
            </m:r>
            <m:ctrlPr>
              <w:rPr>
                <w:rFonts w:ascii="Cambria Math" w:hAnsi="Cambria Math" w:eastAsia="宋体" w:cs="Times New Roman"/>
                <w:sz w:val="24"/>
                <w:szCs w:val="24"/>
              </w:rPr>
            </m:ctrlPr>
          </m:e>
          <m:sub>
            <m:r>
              <w:rPr>
                <w:rFonts w:ascii="Times New Roman" w:hAnsi="Times New Roman" w:eastAsia="宋体" w:cs="Times New Roman"/>
                <w:sz w:val="24"/>
                <w:szCs w:val="24"/>
              </w:rPr>
              <m:t>Q</m:t>
            </m:r>
            <m:ctrlPr>
              <w:rPr>
                <w:rFonts w:ascii="Cambria Math" w:hAnsi="Cambria Math" w:eastAsia="宋体" w:cs="Times New Roman"/>
                <w:sz w:val="24"/>
                <w:szCs w:val="24"/>
              </w:rPr>
            </m:ctrlPr>
          </m:sub>
        </m:sSub>
        <m:sSub>
          <m:sSubPr>
            <m:ctrlPr>
              <w:rPr>
                <w:rFonts w:ascii="Cambria Math" w:hAnsi="Cambria Math" w:eastAsia="宋体" w:cs="Times New Roman"/>
                <w:sz w:val="24"/>
                <w:szCs w:val="24"/>
              </w:rPr>
            </m:ctrlPr>
          </m:sSubPr>
          <m:e>
            <m:r>
              <w:rPr>
                <w:rFonts w:ascii="Times New Roman" w:hAnsi="Times New Roman" w:eastAsia="宋体" w:cs="Times New Roman"/>
                <w:sz w:val="24"/>
                <w:szCs w:val="24"/>
              </w:rPr>
              <m:t>+C</m:t>
            </m:r>
            <m:ctrlPr>
              <w:rPr>
                <w:rFonts w:ascii="Cambria Math" w:hAnsi="Cambria Math" w:eastAsia="宋体" w:cs="Times New Roman"/>
                <w:sz w:val="24"/>
                <w:szCs w:val="24"/>
              </w:rPr>
            </m:ctrlPr>
          </m:e>
          <m:sub>
            <m:r>
              <w:rPr>
                <w:rFonts w:ascii="Times New Roman" w:hAnsi="Times New Roman" w:eastAsia="宋体" w:cs="Times New Roman"/>
                <w:sz w:val="24"/>
                <w:szCs w:val="24"/>
              </w:rPr>
              <m:t>attn</m:t>
            </m:r>
            <m:ctrlPr>
              <w:rPr>
                <w:rFonts w:ascii="Cambria Math" w:hAnsi="Cambria Math" w:eastAsia="宋体" w:cs="Times New Roman"/>
                <w:sz w:val="24"/>
                <w:szCs w:val="24"/>
              </w:rPr>
            </m:ctrlPr>
          </m:sub>
        </m:sSub>
        <m:r>
          <w:rPr>
            <w:rFonts w:ascii="Times New Roman" w:hAnsi="Times New Roman" w:eastAsia="宋体" w:cs="Times New Roman"/>
            <w:sz w:val="24"/>
            <w:szCs w:val="24"/>
          </w:rPr>
          <m:t>≤ C</m:t>
        </m:r>
      </m:oMath>
      <w:r>
        <w:rPr>
          <w:rFonts w:ascii="Times New Roman" w:hAnsi="Times New Roman" w:eastAsia="宋体" w:cs="Times New Roman"/>
          <w:sz w:val="24"/>
          <w:szCs w:val="24"/>
        </w:rPr>
        <w:t xml:space="preserve">。质量成本函数 </w:t>
      </w:r>
      <m:oMath>
        <m:r>
          <w:rPr>
            <w:rFonts w:ascii="Times New Roman" w:hAnsi="Times New Roman" w:eastAsia="宋体" w:cs="Times New Roman"/>
            <w:sz w:val="24"/>
            <w:szCs w:val="24"/>
          </w:rPr>
          <m:t>g</m:t>
        </m:r>
      </m:oMath>
      <w:r>
        <w:rPr>
          <w:rFonts w:ascii="Times New Roman" w:hAnsi="Times New Roman" w:eastAsia="宋体" w:cs="Times New Roman"/>
          <w:sz w:val="24"/>
          <w:szCs w:val="24"/>
        </w:rPr>
        <w:t xml:space="preserve"> 可从附录 B 的三类形式中选取、比较或改进。</w:t>
      </w:r>
    </w:p>
    <w:p w14:paraId="2AC0673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至少考察三个不同量级的预算；可采用 </w:t>
      </w:r>
      <m:oMath>
        <m:sSup>
          <m:sSupPr>
            <m:ctrlPr>
              <w:rPr>
                <w:rFonts w:ascii="Cambria Math" w:hAnsi="Cambria Math" w:eastAsia="宋体" w:cs="Times New Roman"/>
                <w:sz w:val="24"/>
                <w:szCs w:val="24"/>
              </w:rPr>
            </m:ctrlPr>
          </m:sSupPr>
          <m:e>
            <m:r>
              <w:rPr>
                <w:rFonts w:ascii="Times New Roman" w:hAnsi="Times New Roman" w:eastAsia="宋体" w:cs="Times New Roman"/>
                <w:sz w:val="24"/>
                <w:szCs w:val="24"/>
              </w:rPr>
              <m:t>10</m:t>
            </m:r>
            <m:ctrlPr>
              <w:rPr>
                <w:rFonts w:ascii="Cambria Math" w:hAnsi="Cambria Math" w:eastAsia="宋体" w:cs="Times New Roman"/>
                <w:sz w:val="24"/>
                <w:szCs w:val="24"/>
              </w:rPr>
            </m:ctrlPr>
          </m:e>
          <m:sup>
            <m:r>
              <w:rPr>
                <w:rFonts w:ascii="Times New Roman" w:hAnsi="Times New Roman" w:eastAsia="宋体" w:cs="Times New Roman"/>
                <w:sz w:val="24"/>
                <w:szCs w:val="24"/>
              </w:rPr>
              <m:t>19</m:t>
            </m:r>
            <m:ctrlPr>
              <w:rPr>
                <w:rFonts w:ascii="Cambria Math" w:hAnsi="Cambria Math" w:eastAsia="宋体" w:cs="Times New Roman"/>
                <w:sz w:val="24"/>
                <w:szCs w:val="24"/>
              </w:rPr>
            </m:ctrlPr>
          </m:sup>
        </m:sSup>
      </m:oMath>
      <w:r>
        <w:rPr>
          <w:rFonts w:ascii="Times New Roman" w:hAnsi="Times New Roman" w:eastAsia="宋体" w:cs="Times New Roman"/>
          <w:sz w:val="24"/>
          <w:szCs w:val="24"/>
        </w:rPr>
        <w:t>、</w:t>
      </w:r>
      <m:oMath>
        <m:sSup>
          <m:sSupPr>
            <m:ctrlPr>
              <w:rPr>
                <w:rFonts w:ascii="Cambria Math" w:hAnsi="Cambria Math" w:eastAsia="宋体" w:cs="Times New Roman"/>
                <w:sz w:val="24"/>
                <w:szCs w:val="24"/>
              </w:rPr>
            </m:ctrlPr>
          </m:sSupPr>
          <m:e>
            <m:r>
              <w:rPr>
                <w:rFonts w:ascii="Times New Roman" w:hAnsi="Times New Roman" w:eastAsia="宋体" w:cs="Times New Roman"/>
                <w:sz w:val="24"/>
                <w:szCs w:val="24"/>
              </w:rPr>
              <m:t>10</m:t>
            </m:r>
            <m:ctrlPr>
              <w:rPr>
                <w:rFonts w:ascii="Cambria Math" w:hAnsi="Cambria Math" w:eastAsia="宋体" w:cs="Times New Roman"/>
                <w:sz w:val="24"/>
                <w:szCs w:val="24"/>
              </w:rPr>
            </m:ctrlPr>
          </m:e>
          <m:sup>
            <m:r>
              <w:rPr>
                <w:rFonts w:ascii="Times New Roman" w:hAnsi="Times New Roman" w:eastAsia="宋体" w:cs="Times New Roman"/>
                <w:sz w:val="24"/>
                <w:szCs w:val="24"/>
              </w:rPr>
              <m:t>22</m:t>
            </m:r>
            <m:ctrlPr>
              <w:rPr>
                <w:rFonts w:ascii="Cambria Math" w:hAnsi="Cambria Math" w:eastAsia="宋体" w:cs="Times New Roman"/>
                <w:sz w:val="24"/>
                <w:szCs w:val="24"/>
              </w:rPr>
            </m:ctrlPr>
          </m:sup>
        </m:sSup>
      </m:oMath>
      <w:r>
        <w:rPr>
          <w:rFonts w:ascii="Times New Roman" w:hAnsi="Times New Roman" w:eastAsia="宋体" w:cs="Times New Roman"/>
          <w:sz w:val="24"/>
          <w:szCs w:val="24"/>
        </w:rPr>
        <w:t>、</w:t>
      </w:r>
      <m:oMath>
        <m:sSup>
          <m:sSupPr>
            <m:ctrlPr>
              <w:rPr>
                <w:rFonts w:ascii="Cambria Math" w:hAnsi="Cambria Math" w:eastAsia="宋体" w:cs="Times New Roman"/>
                <w:sz w:val="24"/>
                <w:szCs w:val="24"/>
              </w:rPr>
            </m:ctrlPr>
          </m:sSupPr>
          <m:e>
            <m:r>
              <w:rPr>
                <w:rFonts w:ascii="Times New Roman" w:hAnsi="Times New Roman" w:eastAsia="宋体" w:cs="Times New Roman"/>
                <w:sz w:val="24"/>
                <w:szCs w:val="24"/>
              </w:rPr>
              <m:t>10</m:t>
            </m:r>
            <m:ctrlPr>
              <w:rPr>
                <w:rFonts w:ascii="Cambria Math" w:hAnsi="Cambria Math" w:eastAsia="宋体" w:cs="Times New Roman"/>
                <w:sz w:val="24"/>
                <w:szCs w:val="24"/>
              </w:rPr>
            </m:ctrlPr>
          </m:e>
          <m:sup>
            <m:r>
              <w:rPr>
                <w:rFonts w:ascii="Times New Roman" w:hAnsi="Times New Roman" w:eastAsia="宋体" w:cs="Times New Roman"/>
                <w:sz w:val="24"/>
                <w:szCs w:val="24"/>
              </w:rPr>
              <m:t>24</m:t>
            </m:r>
            <m:ctrlPr>
              <w:rPr>
                <w:rFonts w:ascii="Cambria Math" w:hAnsi="Cambria Math" w:eastAsia="宋体" w:cs="Times New Roman"/>
                <w:sz w:val="24"/>
                <w:szCs w:val="24"/>
              </w:rPr>
            </m:ctrlPr>
          </m:sup>
        </m:sSup>
      </m:oMath>
      <w:r>
        <w:rPr>
          <w:rFonts w:ascii="Times New Roman" w:hAnsi="Times New Roman" w:eastAsia="宋体" w:cs="Times New Roman"/>
          <w:sz w:val="24"/>
          <w:szCs w:val="24"/>
        </w:rPr>
        <w:t xml:space="preserve"> FLOPs 作为低、中、高档。求解各档配置，并分析成本函数选择对结果的影响。定义“结构性转移”的数学判据和识别方法，判断预算变化是否使最优策略发生定性变化。</w:t>
      </w:r>
    </w:p>
    <w:p w14:paraId="2CB6B9A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由 </w:t>
      </w:r>
      <m:oMath>
        <m:sSub>
          <m:sSubPr>
            <m:ctrlPr>
              <w:rPr>
                <w:rFonts w:ascii="Cambria Math" w:hAnsi="Cambria Math" w:eastAsia="宋体" w:cs="Times New Roman"/>
                <w:sz w:val="24"/>
                <w:szCs w:val="24"/>
              </w:rPr>
            </m:ctrlPr>
          </m:sSubPr>
          <m:e>
            <m:r>
              <w:rPr>
                <w:rFonts w:ascii="Times New Roman" w:hAnsi="Times New Roman" w:eastAsia="宋体" w:cs="Times New Roman"/>
                <w:sz w:val="24"/>
                <w:szCs w:val="24"/>
              </w:rPr>
              <m:t>C</m:t>
            </m:r>
            <m:ctrlPr>
              <w:rPr>
                <w:rFonts w:ascii="Cambria Math" w:hAnsi="Cambria Math" w:eastAsia="宋体" w:cs="Times New Roman"/>
                <w:sz w:val="24"/>
                <w:szCs w:val="24"/>
              </w:rPr>
            </m:ctrlPr>
          </m:e>
          <m:sub>
            <m:r>
              <w:rPr>
                <w:rFonts w:ascii="Times New Roman" w:hAnsi="Times New Roman" w:eastAsia="宋体" w:cs="Times New Roman"/>
                <w:sz w:val="24"/>
                <w:szCs w:val="24"/>
              </w:rPr>
              <m:t>attn</m:t>
            </m:r>
            <m:ctrlPr>
              <w:rPr>
                <w:rFonts w:ascii="Cambria Math" w:hAnsi="Cambria Math" w:eastAsia="宋体" w:cs="Times New Roman"/>
                <w:sz w:val="24"/>
                <w:szCs w:val="24"/>
              </w:rPr>
            </m:ctrlPr>
          </m:sub>
        </m:sSub>
        <m:sSub>
          <m:sSubPr>
            <m:ctrlPr>
              <w:rPr>
                <w:rFonts w:ascii="Cambria Math" w:hAnsi="Cambria Math" w:eastAsia="宋体" w:cs="Times New Roman"/>
                <w:sz w:val="24"/>
                <w:szCs w:val="24"/>
              </w:rPr>
            </m:ctrlPr>
          </m:sSubPr>
          <m:e>
            <m:r>
              <w:rPr>
                <w:rFonts w:ascii="Times New Roman" w:hAnsi="Times New Roman" w:eastAsia="宋体" w:cs="Times New Roman"/>
                <w:sz w:val="24"/>
                <w:szCs w:val="24"/>
              </w:rPr>
              <m:t>=C</m:t>
            </m:r>
            <m:ctrlPr>
              <w:rPr>
                <w:rFonts w:ascii="Cambria Math" w:hAnsi="Cambria Math" w:eastAsia="宋体" w:cs="Times New Roman"/>
                <w:sz w:val="24"/>
                <w:szCs w:val="24"/>
              </w:rPr>
            </m:ctrlPr>
          </m:e>
          <m:sub>
            <m:r>
              <w:rPr>
                <w:rFonts w:ascii="Times New Roman" w:hAnsi="Times New Roman" w:eastAsia="宋体" w:cs="Times New Roman"/>
                <w:sz w:val="24"/>
                <w:szCs w:val="24"/>
              </w:rPr>
              <m:t>train</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 xml:space="preserve"> 解析给出临界上下文长度 </w:t>
      </w:r>
      <m:oMath>
        <m:sSubSup>
          <m:sSubSupPr>
            <m:ctrlPr>
              <w:rPr>
                <w:rFonts w:ascii="Cambria Math" w:hAnsi="Cambria Math" w:eastAsia="宋体" w:cs="Times New Roman"/>
                <w:sz w:val="24"/>
                <w:szCs w:val="24"/>
              </w:rPr>
            </m:ctrlPr>
          </m:sSubSupPr>
          <m:e>
            <m:r>
              <w:rPr>
                <w:rFonts w:ascii="Times New Roman" w:hAnsi="Times New Roman" w:eastAsia="宋体" w:cs="Times New Roman"/>
                <w:sz w:val="24"/>
                <w:szCs w:val="24"/>
              </w:rPr>
              <m:t>L</m:t>
            </m:r>
            <m:ctrlPr>
              <w:rPr>
                <w:rFonts w:ascii="Cambria Math" w:hAnsi="Cambria Math" w:eastAsia="宋体" w:cs="Times New Roman"/>
                <w:sz w:val="24"/>
                <w:szCs w:val="24"/>
              </w:rPr>
            </m:ctrlPr>
          </m:e>
          <m:sub>
            <m:r>
              <w:rPr>
                <w:rFonts w:ascii="Times New Roman" w:hAnsi="Times New Roman" w:eastAsia="宋体" w:cs="Times New Roman"/>
                <w:sz w:val="24"/>
                <w:szCs w:val="24"/>
              </w:rPr>
              <m:t>ctx</m:t>
            </m:r>
            <m:ctrlPr>
              <w:rPr>
                <w:rFonts w:ascii="Cambria Math" w:hAnsi="Cambria Math" w:eastAsia="宋体" w:cs="Times New Roman"/>
                <w:sz w:val="24"/>
                <w:szCs w:val="24"/>
              </w:rPr>
            </m:ctrlPr>
          </m:sub>
          <m:sup>
            <m:r>
              <w:rPr>
                <w:rFonts w:ascii="Times New Roman" w:hAnsi="Times New Roman" w:eastAsia="宋体" w:cs="Times New Roman"/>
                <w:sz w:val="24"/>
                <w:szCs w:val="24"/>
              </w:rPr>
              <m:t>crit</m:t>
            </m:r>
            <m:ctrlPr>
              <w:rPr>
                <w:rFonts w:ascii="Cambria Math" w:hAnsi="Cambria Math" w:eastAsia="宋体" w:cs="Times New Roman"/>
                <w:sz w:val="24"/>
                <w:szCs w:val="24"/>
              </w:rPr>
            </m:ctrlPr>
          </m:sup>
        </m:sSubSup>
        <m:r>
          <w:rPr>
            <w:rFonts w:ascii="Times New Roman" w:hAnsi="Times New Roman" w:eastAsia="宋体" w:cs="Times New Roman"/>
            <w:sz w:val="24"/>
            <w:szCs w:val="24"/>
          </w:rPr>
          <m:t>=6/η</m:t>
        </m:r>
      </m:oMath>
      <w:r>
        <w:rPr>
          <w:rFonts w:ascii="Times New Roman" w:hAnsi="Times New Roman" w:eastAsia="宋体" w:cs="Times New Roman"/>
          <w:sz w:val="24"/>
          <w:szCs w:val="24"/>
        </w:rPr>
        <w:t>。</w:t>
      </w:r>
      <m:oMath>
        <m:sSub>
          <m:sSubPr>
            <m:ctrlPr>
              <w:rPr>
                <w:rFonts w:ascii="Cambria Math" w:hAnsi="Cambria Math" w:eastAsia="宋体" w:cs="Times New Roman"/>
                <w:sz w:val="24"/>
                <w:szCs w:val="24"/>
              </w:rPr>
            </m:ctrlPr>
          </m:sSubPr>
          <m:e>
            <m:r>
              <w:rPr>
                <w:rFonts w:ascii="Times New Roman" w:hAnsi="Times New Roman" w:eastAsia="宋体" w:cs="Times New Roman"/>
                <w:sz w:val="24"/>
                <w:szCs w:val="24"/>
              </w:rPr>
              <m:t>L</m:t>
            </m:r>
            <m:ctrlPr>
              <w:rPr>
                <w:rFonts w:ascii="Cambria Math" w:hAnsi="Cambria Math" w:eastAsia="宋体" w:cs="Times New Roman"/>
                <w:sz w:val="24"/>
                <w:szCs w:val="24"/>
              </w:rPr>
            </m:ctrlPr>
          </m:e>
          <m:sub>
            <m:r>
              <w:rPr>
                <w:rFonts w:ascii="Times New Roman" w:hAnsi="Times New Roman" w:eastAsia="宋体" w:cs="Times New Roman"/>
                <w:sz w:val="24"/>
                <w:szCs w:val="24"/>
              </w:rPr>
              <m:t>ctx</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 xml:space="preserve"> 的可行取值须依据 C7，在可行取值上完成敏感性分析，不能仅凭主观设定。</w:t>
      </w:r>
    </w:p>
    <w:p w14:paraId="65065D9A">
      <w:pPr>
        <w:pStyle w:val="4"/>
      </w:pPr>
      <w:r>
        <w:t>问题四：技术演进分解与能力前沿预测</w:t>
      </w:r>
    </w:p>
    <w:p w14:paraId="57AD629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结合附件 C，建立动力学或因果推断模型，分离并量化模型能力增长中规模扩张和非规模技术进步各自的贡献占比。在算力增长放缓的情景下，预测未来 12 个月或 24 个月开源大语言模型的能力前沿，并给出不确定性分析。</w:t>
      </w:r>
    </w:p>
    <w:p w14:paraId="7DD1102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须定义综合能力的度量方式；明确开源模型的筛选规则，包括是否要求开放权重、许可证是否允许研究与复现；区分 pretrained 基础模型与 chat/finetuned 模型；说明时间轴采用提交日期、发布日期还是版本日期。</w:t>
      </w:r>
    </w:p>
    <w:p w14:paraId="18E0DD5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前三问以 Loss 为主要结果，本问以多维 Benchmark 得分为主要结果。须使用 C6 或 C5 的 Loss–Benchmark 桥接数据，或引用可核验文献中的对应关系，建立两类结果之间的映射；桥接数据须按可比性等级区分，并分析映射误差对贡献分解和预测的影响。</w:t>
      </w:r>
    </w:p>
    <w:p w14:paraId="4261E1B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须使用 C1（或 C2）及 C3；使用 C4 中的算力、数据量、开源权重等字段；对 C8 做至少一项逐任务聚合分析，不能只使用汇总表。</w:t>
      </w:r>
    </w:p>
    <w:p w14:paraId="50B49E67">
      <w:pPr>
        <w:pStyle w:val="3"/>
        <w:numPr>
          <w:ilvl w:val="0"/>
          <w:numId w:val="7"/>
        </w:numPr>
        <w:topLinePunct w:val="0"/>
        <w:ind w:left="0" w:leftChars="0" w:firstLine="0" w:firstLineChars="0"/>
        <w:rPr>
          <w:rFonts w:hint="eastAsia" w:ascii="黑体" w:hAnsi="黑体" w:eastAsia="黑体" w:cs="黑体"/>
          <w:b w:val="0"/>
          <w:bdr w:val="none" w:sz="0" w:space="0"/>
        </w:rPr>
      </w:pPr>
      <w:r>
        <w:t>附件与数据口径</w:t>
      </w:r>
    </w:p>
    <w:p w14:paraId="0E4F994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全部数据位于 real_attachments/。文件编号、英文名称、字段、规模、可信度、跨附件兼容性和读取方式见随附《数据说明》。真实观测、半合成、插值、外推及估算数据应按其性质区分使用。若文字清单与实际附件不一致，以实际附件为准。</w:t>
      </w:r>
    </w:p>
    <w:p w14:paraId="01FC4B03">
      <w:pPr>
        <w:pStyle w:val="3"/>
        <w:numPr>
          <w:ilvl w:val="0"/>
          <w:numId w:val="7"/>
        </w:numPr>
        <w:topLinePunct w:val="0"/>
        <w:ind w:left="0" w:leftChars="0" w:firstLine="0" w:firstLineChars="0"/>
        <w:rPr>
          <w:rFonts w:hint="eastAsia" w:ascii="黑体" w:hAnsi="黑体" w:eastAsia="黑体" w:cs="黑体"/>
          <w:b w:val="0"/>
          <w:bdr w:val="none" w:sz="0" w:space="0"/>
        </w:rPr>
      </w:pPr>
      <w:r>
        <w:t>AI 使用规范</w:t>
      </w:r>
    </w:p>
    <w:p w14:paraId="2B33609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参赛队伍使用 AI 工具须遵守原题规定：AI 可用于概念理解、资料整理与代码调试，不得代替完成核心建模、推导与论证；不得直接复制 AI 生成的建模方案。参赛队伍须核验并理解 AI 输出，对正确性负责；理论、公式与实验结论应以正式文献或可核验数据为依据，不能以 AI 输出作为学术依据。论文末尾须披露所用 AI 工具、使用环节和贡献范围。原题规定，直接复制 AI 生成的建模方案或未披露 AI 使用，一经查实取消参评资格。</w:t>
      </w:r>
    </w:p>
    <w:p w14:paraId="27705D3D">
      <w:pPr>
        <w:pStyle w:val="165"/>
        <w:widowControl/>
      </w:pPr>
      <w:r>
        <w:t>附录 A：各问数据使用要求</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4"/>
        <w:gridCol w:w="4754"/>
      </w:tblGrid>
      <w:tr w14:paraId="30936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500" w:type="pct"/>
          </w:tcPr>
          <w:p w14:paraId="27727A27">
            <w:pPr>
              <w:spacing w:after="0" w:line="240" w:lineRule="auto"/>
            </w:pPr>
            <w:r>
              <w:rPr>
                <w:b/>
              </w:rPr>
              <w:t>问题</w:t>
            </w:r>
          </w:p>
        </w:tc>
        <w:tc>
          <w:tcPr>
            <w:tcW w:w="2500" w:type="pct"/>
          </w:tcPr>
          <w:p w14:paraId="712CA79F">
            <w:pPr>
              <w:spacing w:after="0" w:line="240" w:lineRule="auto"/>
            </w:pPr>
            <w:r>
              <w:rPr>
                <w:b/>
              </w:rPr>
              <w:t>必须使用与验证要求</w:t>
            </w:r>
          </w:p>
        </w:tc>
      </w:tr>
      <w:tr w14:paraId="78DD7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Pr>
          <w:p w14:paraId="6502E00C">
            <w:pPr>
              <w:spacing w:after="0" w:line="240" w:lineRule="auto"/>
            </w:pPr>
            <w:r>
              <w:t>一</w:t>
            </w:r>
          </w:p>
        </w:tc>
        <w:tc>
          <w:tcPr>
            <w:tcW w:w="2500" w:type="pct"/>
          </w:tcPr>
          <w:p w14:paraId="4817A12D">
            <w:pPr>
              <w:spacing w:after="0" w:line="240" w:lineRule="auto"/>
            </w:pPr>
            <w:r>
              <w:t>A1、A2、A3 的全部质量记录；A4–A15 的配比与 Loss 成对数据；A6–A11 检验，A12–A15 外推稳健性；跨域关联可参考 A16；A18 可选作原始文本验算。</w:t>
            </w:r>
          </w:p>
        </w:tc>
      </w:tr>
      <w:tr w14:paraId="0CC9E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Pr>
          <w:p w14:paraId="6DDE9798">
            <w:pPr>
              <w:spacing w:after="0" w:line="240" w:lineRule="auto"/>
            </w:pPr>
            <w:r>
              <w:t>二</w:t>
            </w:r>
          </w:p>
        </w:tc>
        <w:tc>
          <w:tcPr>
            <w:tcW w:w="2500" w:type="pct"/>
          </w:tcPr>
          <w:p w14:paraId="3C36D374">
            <w:pPr>
              <w:spacing w:after="0" w:line="240" w:lineRule="auto"/>
            </w:pPr>
            <w:r>
              <w:t>B1 主拟合；B2 或 B3 至少一个；B4、B5；B6 或 B7/B8；结合 B9、B10 外推。B11、B12 辅助。标明半合成和估算数据的可信度边界。</w:t>
            </w:r>
          </w:p>
        </w:tc>
      </w:tr>
      <w:tr w14:paraId="57D9D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Pr>
          <w:p w14:paraId="568200D6">
            <w:pPr>
              <w:spacing w:after="0" w:line="240" w:lineRule="auto"/>
            </w:pPr>
            <w:r>
              <w:t>三</w:t>
            </w:r>
          </w:p>
        </w:tc>
        <w:tc>
          <w:tcPr>
            <w:tcW w:w="2500" w:type="pct"/>
          </w:tcPr>
          <w:p w14:paraId="1F744D6A">
            <w:pPr>
              <w:spacing w:after="0" w:line="240" w:lineRule="auto"/>
            </w:pPr>
            <w:r>
              <w:t>前两问输出；C7 确定外生上下文长度的可行取值并做敏感性分析。</w:t>
            </w:r>
          </w:p>
        </w:tc>
      </w:tr>
      <w:tr w14:paraId="21465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Pr>
          <w:p w14:paraId="1AB271B6">
            <w:pPr>
              <w:spacing w:after="0" w:line="240" w:lineRule="auto"/>
            </w:pPr>
            <w:r>
              <w:t>四</w:t>
            </w:r>
          </w:p>
        </w:tc>
        <w:tc>
          <w:tcPr>
            <w:tcW w:w="2500" w:type="pct"/>
          </w:tcPr>
          <w:p w14:paraId="02A86274">
            <w:pPr>
              <w:spacing w:after="0" w:line="240" w:lineRule="auto"/>
            </w:pPr>
            <w:r>
              <w:t>C1 或 C2、C3；C4 的算力、数据量、开源权重等字段；C8 至少一项逐任务聚合；C5 或 C6 桥接数据，或可核验文献关系。</w:t>
            </w:r>
          </w:p>
        </w:tc>
      </w:tr>
    </w:tbl>
    <w:p w14:paraId="41350BAC">
      <w:pPr>
        <w:pStyle w:val="165"/>
        <w:widowControl/>
      </w:pPr>
      <w:r>
        <w:t>附录 B：质量成本函数与领域指标</w:t>
      </w:r>
    </w:p>
    <w:p w14:paraId="5C45C16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问题三可选择、比较或改进以下函数，并按 </w:t>
      </w:r>
      <m:oMath>
        <m:sSub>
          <m:sSubPr>
            <m:ctrlPr>
              <w:rPr>
                <w:rFonts w:ascii="Cambria Math" w:hAnsi="Cambria Math" w:eastAsia="宋体" w:cs="Times New Roman"/>
                <w:sz w:val="24"/>
                <w:szCs w:val="24"/>
              </w:rPr>
            </m:ctrlPr>
          </m:sSubPr>
          <m:e>
            <m:r>
              <w:rPr>
                <w:rFonts w:ascii="Times New Roman" w:hAnsi="Times New Roman" w:eastAsia="宋体" w:cs="Times New Roman"/>
                <w:sz w:val="24"/>
                <w:szCs w:val="24"/>
              </w:rPr>
              <m:t>C</m:t>
            </m:r>
            <m:ctrlPr>
              <w:rPr>
                <w:rFonts w:ascii="Cambria Math" w:hAnsi="Cambria Math" w:eastAsia="宋体" w:cs="Times New Roman"/>
                <w:sz w:val="24"/>
                <w:szCs w:val="24"/>
              </w:rPr>
            </m:ctrlPr>
          </m:e>
          <m:sub>
            <m:r>
              <w:rPr>
                <w:rFonts w:ascii="Times New Roman" w:hAnsi="Times New Roman" w:eastAsia="宋体" w:cs="Times New Roman"/>
                <w:sz w:val="24"/>
                <w:szCs w:val="24"/>
              </w:rPr>
              <m:t>Q</m:t>
            </m:r>
            <m:ctrlPr>
              <w:rPr>
                <w:rFonts w:ascii="Cambria Math" w:hAnsi="Cambria Math" w:eastAsia="宋体" w:cs="Times New Roman"/>
                <w:sz w:val="24"/>
                <w:szCs w:val="24"/>
              </w:rPr>
            </m:ctrlPr>
          </m:sub>
        </m:sSub>
        <m:sSub>
          <m:sSubPr>
            <m:ctrlPr>
              <w:rPr>
                <w:rFonts w:ascii="Cambria Math" w:hAnsi="Cambria Math" w:eastAsia="宋体" w:cs="Times New Roman"/>
                <w:sz w:val="24"/>
                <w:szCs w:val="24"/>
              </w:rPr>
            </m:ctrlPr>
          </m:sSubPr>
          <m:e>
            <m:r>
              <w:rPr>
                <w:rFonts w:ascii="Times New Roman" w:hAnsi="Times New Roman" w:eastAsia="宋体" w:cs="Times New Roman"/>
                <w:sz w:val="24"/>
                <w:szCs w:val="24"/>
              </w:rPr>
              <m:t>=D[g(Q)−g(Q</m:t>
            </m:r>
            <m:ctrlPr>
              <w:rPr>
                <w:rFonts w:ascii="Cambria Math" w:hAnsi="Cambria Math" w:eastAsia="宋体" w:cs="Times New Roman"/>
                <w:sz w:val="24"/>
                <w:szCs w:val="24"/>
              </w:rPr>
            </m:ctrlPr>
          </m:e>
          <m:sub>
            <m:r>
              <w:rPr>
                <w:rFonts w:ascii="Times New Roman" w:hAnsi="Times New Roman" w:eastAsia="宋体" w:cs="Times New Roman"/>
                <w:sz w:val="24"/>
                <w:szCs w:val="24"/>
              </w:rPr>
              <m:t>0</m:t>
            </m:r>
            <m:ctrlPr>
              <w:rPr>
                <w:rFonts w:ascii="Cambria Math" w:hAnsi="Cambria Math" w:eastAsia="宋体" w:cs="Times New Roman"/>
                <w:sz w:val="24"/>
                <w:szCs w:val="24"/>
              </w:rPr>
            </m:ctrlPr>
          </m:sub>
        </m:sSub>
        <m:sSub>
          <m:sSubPr>
            <m:ctrlPr>
              <w:rPr>
                <w:rFonts w:ascii="Cambria Math" w:hAnsi="Cambria Math" w:eastAsia="宋体" w:cs="Times New Roman"/>
                <w:sz w:val="24"/>
                <w:szCs w:val="24"/>
              </w:rPr>
            </m:ctrlPr>
          </m:sSubPr>
          <m:e>
            <m:r>
              <w:rPr>
                <w:rFonts w:ascii="Times New Roman" w:hAnsi="Times New Roman" w:eastAsia="宋体" w:cs="Times New Roman"/>
                <w:sz w:val="24"/>
                <w:szCs w:val="24"/>
              </w:rPr>
              <m:t>)]</m:t>
            </m:r>
            <m:ctrlPr>
              <w:rPr>
                <w:rFonts w:ascii="Cambria Math" w:hAnsi="Cambria Math" w:eastAsia="宋体" w:cs="Times New Roman"/>
                <w:sz w:val="24"/>
                <w:szCs w:val="24"/>
              </w:rPr>
            </m:ctrlPr>
          </m:e>
          <m:sub>
            <m:r>
              <w:rPr>
                <w:rFonts w:ascii="Times New Roman" w:hAnsi="Times New Roman" w:eastAsia="宋体" w:cs="Times New Roman"/>
                <w:sz w:val="24"/>
                <w:szCs w:val="24"/>
              </w:rPr>
              <m:t>+</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 xml:space="preserve"> 计算增量成本：</w:t>
      </w:r>
    </w:p>
    <w:tbl>
      <w:tblPr>
        <w:tblStyle w:val="3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3169"/>
        <w:gridCol w:w="3169"/>
      </w:tblGrid>
      <w:tr w14:paraId="52B9E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66" w:type="pct"/>
          </w:tcPr>
          <w:p w14:paraId="16A16335">
            <w:pPr>
              <w:spacing w:after="0" w:line="240" w:lineRule="auto"/>
            </w:pPr>
            <w:r>
              <w:rPr>
                <w:b/>
              </w:rPr>
              <w:t>类型</w:t>
            </w:r>
          </w:p>
        </w:tc>
        <w:tc>
          <w:tcPr>
            <w:tcW w:w="1666" w:type="pct"/>
          </w:tcPr>
          <w:p w14:paraId="2B91B661">
            <w:pPr>
              <w:spacing w:after="0" w:line="240" w:lineRule="auto"/>
            </w:pPr>
            <m:oMathPara>
              <m:oMath>
                <m:r>
                  <m:rPr/>
                  <m:t>g(Q)</m:t>
                </m:r>
              </m:oMath>
            </m:oMathPara>
          </w:p>
        </w:tc>
        <w:tc>
          <w:tcPr>
            <w:tcW w:w="1666" w:type="pct"/>
          </w:tcPr>
          <w:p w14:paraId="3503E752">
            <w:pPr>
              <w:spacing w:after="0" w:line="240" w:lineRule="auto"/>
            </w:pPr>
            <w:r>
              <w:rPr>
                <w:b/>
              </w:rPr>
              <w:t>参数</w:t>
            </w:r>
          </w:p>
        </w:tc>
      </w:tr>
      <w:tr w14:paraId="7A09F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tcPr>
          <w:p w14:paraId="77EE8819">
            <w:pPr>
              <w:spacing w:after="0" w:line="240" w:lineRule="auto"/>
            </w:pPr>
            <w:r>
              <w:t>指数型</w:t>
            </w:r>
          </w:p>
        </w:tc>
        <w:tc>
          <w:tcPr>
            <w:tcW w:w="1666" w:type="pct"/>
          </w:tcPr>
          <w:p w14:paraId="437AC781">
            <w:pPr>
              <w:spacing w:after="0" w:line="240" w:lineRule="auto"/>
            </w:pPr>
            <m:oMathPara>
              <m:oMath>
                <m:r>
                  <m:rPr/>
                  <m:t>γ</m:t>
                </m:r>
                <m:sSup>
                  <m:sSupPr/>
                  <m:e>
                    <m:r>
                      <m:rPr/>
                      <m:t xml:space="preserve"> e</m:t>
                    </m:r>
                  </m:e>
                  <m:sup>
                    <m:r>
                      <m:rPr/>
                      <m:t>λ Q</m:t>
                    </m:r>
                  </m:sup>
                </m:sSup>
              </m:oMath>
            </m:oMathPara>
          </w:p>
        </w:tc>
        <w:tc>
          <w:tcPr>
            <w:tcW w:w="1666" w:type="pct"/>
          </w:tcPr>
          <w:p w14:paraId="5D31F531">
            <w:pPr>
              <w:spacing w:after="0" w:line="240" w:lineRule="auto"/>
            </w:pPr>
            <m:oMathPara>
              <m:oMath>
                <m:r>
                  <m:rPr/>
                  <m:t>γ</m:t>
                </m:r>
                <m:sSup>
                  <m:sSupPr/>
                  <m:e>
                    <m:r>
                      <m:rPr/>
                      <m:t>=10</m:t>
                    </m:r>
                  </m:e>
                  <m:sup>
                    <m:r>
                      <m:rPr/>
                      <m:t>7</m:t>
                    </m:r>
                  </m:sup>
                </m:sSup>
                <m:r>
                  <m:rPr/>
                  <m:t>, λ=6.0</m:t>
                </m:r>
              </m:oMath>
            </m:oMathPara>
          </w:p>
        </w:tc>
      </w:tr>
      <w:tr w14:paraId="3A233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tcPr>
          <w:p w14:paraId="08B8A42D">
            <w:pPr>
              <w:spacing w:after="0" w:line="240" w:lineRule="auto"/>
            </w:pPr>
            <w:r>
              <w:t>幂函数型</w:t>
            </w:r>
          </w:p>
        </w:tc>
        <w:tc>
          <w:tcPr>
            <w:tcW w:w="1666" w:type="pct"/>
          </w:tcPr>
          <w:p w14:paraId="4EDF2060">
            <w:pPr>
              <w:spacing w:after="0" w:line="240" w:lineRule="auto"/>
            </w:pPr>
            <m:oMathPara>
              <m:oMath>
                <m:r>
                  <m:rPr/>
                  <m:t>γ</m:t>
                </m:r>
                <m:sSup>
                  <m:sSupPr/>
                  <m:e>
                    <m:r>
                      <m:rPr/>
                      <m:t xml:space="preserve"> Q</m:t>
                    </m:r>
                  </m:e>
                  <m:sup>
                    <m:r>
                      <m:rPr/>
                      <m:t>λ</m:t>
                    </m:r>
                  </m:sup>
                </m:sSup>
              </m:oMath>
            </m:oMathPara>
          </w:p>
        </w:tc>
        <w:tc>
          <w:tcPr>
            <w:tcW w:w="1666" w:type="pct"/>
          </w:tcPr>
          <w:p w14:paraId="3D5BF966">
            <w:pPr>
              <w:spacing w:after="0" w:line="240" w:lineRule="auto"/>
            </w:pPr>
            <m:oMathPara>
              <m:oMath>
                <m:r>
                  <m:rPr/>
                  <m:t>γ=5×</m:t>
                </m:r>
                <m:sSup>
                  <m:sSupPr/>
                  <m:e>
                    <m:r>
                      <m:rPr/>
                      <m:t>10</m:t>
                    </m:r>
                  </m:e>
                  <m:sup>
                    <m:r>
                      <m:rPr/>
                      <m:t>9</m:t>
                    </m:r>
                  </m:sup>
                </m:sSup>
                <m:r>
                  <m:rPr/>
                  <m:t>, λ=4.0</m:t>
                </m:r>
              </m:oMath>
            </m:oMathPara>
          </w:p>
        </w:tc>
      </w:tr>
      <w:tr w14:paraId="7579C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tcPr>
          <w:p w14:paraId="4354CD1B">
            <w:pPr>
              <w:spacing w:after="0" w:line="240" w:lineRule="auto"/>
            </w:pPr>
            <w:r>
              <w:t>对数渐进型</w:t>
            </w:r>
          </w:p>
        </w:tc>
        <w:tc>
          <w:tcPr>
            <w:tcW w:w="1666" w:type="pct"/>
          </w:tcPr>
          <w:p w14:paraId="3EE7B7B4">
            <w:pPr>
              <w:spacing w:after="0" w:line="240" w:lineRule="auto"/>
            </w:pPr>
            <m:oMathPara>
              <m:oMath>
                <m:r>
                  <m:rPr/>
                  <m:t>γln(1+λ Q)</m:t>
                </m:r>
              </m:oMath>
            </m:oMathPara>
          </w:p>
        </w:tc>
        <w:tc>
          <w:tcPr>
            <w:tcW w:w="1666" w:type="pct"/>
          </w:tcPr>
          <w:p w14:paraId="2A078780">
            <w:pPr>
              <w:spacing w:after="0" w:line="240" w:lineRule="auto"/>
            </w:pPr>
            <m:oMathPara>
              <m:oMath>
                <m:r>
                  <m:rPr/>
                  <m:t>γ=2×</m:t>
                </m:r>
                <m:sSup>
                  <m:sSupPr/>
                  <m:e>
                    <m:r>
                      <m:rPr/>
                      <m:t>10</m:t>
                    </m:r>
                  </m:e>
                  <m:sup>
                    <m:r>
                      <m:rPr/>
                      <m:t>9</m:t>
                    </m:r>
                  </m:sup>
                </m:sSup>
                <m:r>
                  <m:rPr/>
                  <m:t>, λ=10.0</m:t>
                </m:r>
              </m:oMath>
            </m:oMathPara>
          </w:p>
        </w:tc>
      </w:tr>
    </w:tbl>
    <w:p w14:paraId="46CA37F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17 个训练领域和 22 个质量指标的名称、字段类型及方向见《数据说明》的“附件 A”。其中多维列表型指标须先压缩为标量；所有质量指标处理后均须按“越高越好”参与评价。</w:t>
      </w:r>
    </w:p>
    <w:p w14:paraId="3E7FF2BA">
      <w:pPr>
        <w:pStyle w:val="167"/>
      </w:pPr>
      <w:r>
        <w:t>原题参考文献</w:t>
      </w:r>
    </w:p>
    <w:p w14:paraId="1C03DFBE">
      <w:pPr>
        <w:pStyle w:val="166"/>
        <w:widowControl/>
        <w:numPr>
          <w:ilvl w:val="0"/>
          <w:numId w:val="9"/>
        </w:numPr>
        <w:ind w:left="425" w:leftChars="0" w:hanging="425" w:firstLineChars="0"/>
        <w:rPr>
          <w:b w:val="0"/>
          <w:bdr w:val="none" w:sz="0" w:space="0"/>
        </w:rPr>
      </w:pPr>
      <w:r>
        <w:t>Bahri, Y., Dyer, E., Kaplan, J., et al. Explaining neural scaling laws. PNAS, 121(27), 2024. DOI: 10.1073/pnas.2311878121.</w:t>
      </w:r>
    </w:p>
    <w:p w14:paraId="7BF87447">
      <w:pPr>
        <w:pStyle w:val="166"/>
        <w:widowControl/>
        <w:numPr>
          <w:ilvl w:val="0"/>
          <w:numId w:val="9"/>
        </w:numPr>
        <w:ind w:left="425" w:leftChars="0" w:hanging="425" w:firstLineChars="0"/>
        <w:rPr>
          <w:b w:val="0"/>
          <w:bdr w:val="none" w:sz="0" w:space="0"/>
        </w:rPr>
      </w:pPr>
      <w:r>
        <w:t>Hoffmann, J., Borgeaud, S., Mensch, A., et al. Training Compute-Optimal Large Language Models. NeurIPS 35, 2022.</w:t>
      </w:r>
    </w:p>
    <w:p w14:paraId="590A07E2">
      <w:pPr>
        <w:pStyle w:val="166"/>
        <w:widowControl/>
        <w:numPr>
          <w:ilvl w:val="0"/>
          <w:numId w:val="9"/>
        </w:numPr>
        <w:ind w:left="425" w:leftChars="0" w:hanging="425" w:firstLineChars="0"/>
        <w:rPr>
          <w:b w:val="0"/>
          <w:bdr w:val="none" w:sz="0" w:space="0"/>
        </w:rPr>
      </w:pPr>
      <w:r>
        <w:t>Xia, M., et al. RegMix: Data Mixture as Regression for Language Model Pre-training. ICML, 2024.</w:t>
      </w:r>
    </w:p>
    <w:p w14:paraId="21544783">
      <w:pPr>
        <w:pStyle w:val="166"/>
        <w:widowControl/>
        <w:numPr>
          <w:ilvl w:val="0"/>
          <w:numId w:val="9"/>
        </w:numPr>
        <w:ind w:left="425" w:leftChars="0" w:hanging="425" w:firstLineChars="0"/>
        <w:rPr>
          <w:b w:val="0"/>
          <w:bdr w:val="none" w:sz="0" w:space="0"/>
        </w:rPr>
      </w:pPr>
      <w:r>
        <w:t>Biderman, S., et al. Pythia: A Suite for Analyzing Large Language Models Across Training and Scaling. ICML, 2023.</w:t>
      </w:r>
    </w:p>
    <w:p w14:paraId="0EEE97BF">
      <w:pPr>
        <w:pStyle w:val="166"/>
        <w:widowControl/>
        <w:numPr>
          <w:ilvl w:val="0"/>
          <w:numId w:val="9"/>
        </w:numPr>
        <w:ind w:left="425" w:leftChars="0" w:hanging="425" w:firstLineChars="0"/>
        <w:rPr>
          <w:b w:val="0"/>
          <w:bdr w:val="none" w:sz="0" w:space="0"/>
        </w:rPr>
      </w:pPr>
      <w:r>
        <w:t>Asai, A., et al. Synthesizing scientific literature with retrieval-augmented language models. Nature 650, 857–863 (2026). DOI: 10.1038/s41586-025-10072-4.</w:t>
      </w:r>
    </w:p>
    <w:p w14:paraId="4D1A9A16">
      <w:pPr>
        <w:pStyle w:val="166"/>
        <w:widowControl/>
        <w:numPr>
          <w:ilvl w:val="0"/>
          <w:numId w:val="9"/>
        </w:numPr>
        <w:ind w:left="425" w:leftChars="0" w:hanging="425" w:firstLineChars="0"/>
        <w:rPr>
          <w:b w:val="0"/>
          <w:bdr w:val="none" w:sz="0" w:space="0"/>
        </w:rPr>
      </w:pPr>
      <w:r>
        <w:t>Schaeffer, R., Miranda, B., Koyejo, S. Are Emergent Abilities of Large Language Models a Mirage? NeurIPS 36, 2023.</w:t>
      </w:r>
    </w:p>
    <w:sectPr>
      <w:pgSz w:w="12240" w:h="15840"/>
      <w:pgMar w:top="1247" w:right="1474" w:bottom="1247"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方正黑体_GBK">
    <w:panose1 w:val="02000000000000000000"/>
    <w:charset w:val="86"/>
    <w:family w:val="auto"/>
    <w:pitch w:val="default"/>
    <w:sig w:usb0="A00002BF" w:usb1="38CF7CFA" w:usb2="00082016" w:usb3="00000000" w:csb0="00040001" w:csb1="00000000"/>
  </w:font>
  <w:font w:name="方正楷体_GBK">
    <w:panose1 w:val="02000000000000000000"/>
    <w:charset w:val="86"/>
    <w:family w:val="auto"/>
    <w:pitch w:val="default"/>
    <w:sig w:usb0="A00002BF" w:usb1="38CF7CFA" w:usb2="00082016" w:usb3="00000000" w:csb0="00040001" w:csb1="00000000"/>
  </w:font>
  <w:font w:name="方正仿宋_GBK">
    <w:panose1 w:val="02000000000000000000"/>
    <w:charset w:val="86"/>
    <w:family w:val="auto"/>
    <w:pitch w:val="default"/>
    <w:sig w:usb0="A00002BF" w:usb1="38CF7CFA" w:usb2="00082016" w:usb3="00000000" w:csb0="00040001" w:csb1="00000000"/>
  </w:font>
  <w:font w:name="Cambria">
    <w:panose1 w:val="02040503050406030204"/>
    <w:charset w:val="00"/>
    <w:family w:val="auto"/>
    <w:pitch w:val="default"/>
    <w:sig w:usb0="E00006FF" w:usb1="420024FF" w:usb2="02000000" w:usb3="00000000" w:csb0="2000019F" w:csb1="00000000"/>
  </w:font>
  <w:font w:name="ＭＳ 明朝">
    <w:altName w:val="黑体"/>
    <w:panose1 w:val="00000000000000000000"/>
    <w:charset w:val="80"/>
    <w:family w:val="roman"/>
    <w:pitch w:val="default"/>
    <w:sig w:usb0="00000000" w:usb1="00000000" w:usb2="00000010" w:usb3="00000000" w:csb0="00020000" w:csb1="00000000"/>
  </w:font>
  <w:font w:name="ＭＳ 明朝">
    <w:altName w:val="黑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黑体"/>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Calibri Light">
    <w:panose1 w:val="020F0302020204030204"/>
    <w:charset w:val="00"/>
    <w:family w:val="auto"/>
    <w:pitch w:val="default"/>
    <w:sig w:usb0="E4002EFF" w:usb1="C200247B" w:usb2="00000009" w:usb3="00000000" w:csb0="200001FF" w:csb1="00000000"/>
  </w:font>
  <w:font w:name="MS Mincho">
    <w:altName w:val="By my side"/>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434E1342"/>
    <w:multiLevelType w:val="singleLevel"/>
    <w:tmpl w:val="434E1342"/>
    <w:lvl w:ilvl="0" w:tentative="0">
      <w:start w:val="1"/>
      <w:numFmt w:val="decimal"/>
      <w:suff w:val="space"/>
      <w:lvlText w:val="%1."/>
      <w:lvlJc w:val="left"/>
      <w:pPr>
        <w:ind w:left="0" w:firstLine="480"/>
      </w:pPr>
      <w:rPr>
        <w:rFonts w:hint="default"/>
      </w:rPr>
    </w:lvl>
  </w:abstractNum>
  <w:abstractNum w:abstractNumId="7">
    <w:nsid w:val="700BA18B"/>
    <w:multiLevelType w:val="singleLevel"/>
    <w:tmpl w:val="700BA18B"/>
    <w:lvl w:ilvl="0" w:tentative="0">
      <w:start w:val="1"/>
      <w:numFmt w:val="decimal"/>
      <w:lvlText w:val="[%1]"/>
      <w:lvlJc w:val="left"/>
      <w:pPr>
        <w:tabs>
          <w:tab w:val="left" w:pos="210"/>
        </w:tabs>
        <w:ind w:left="425" w:hanging="425"/>
      </w:pPr>
      <w:rPr>
        <w:rFonts w:hint="default"/>
      </w:rPr>
    </w:lvl>
  </w:abstractNum>
  <w:abstractNum w:abstractNumId="8">
    <w:nsid w:val="7D249731"/>
    <w:multiLevelType w:val="singleLevel"/>
    <w:tmpl w:val="7D249731"/>
    <w:lvl w:ilvl="0" w:tentative="0">
      <w:start w:val="1"/>
      <w:numFmt w:val="chineseCounting"/>
      <w:suff w:val="nothing"/>
      <w:lvlText w:val="%1、"/>
      <w:lvlJc w:val="left"/>
      <w:pPr>
        <w:ind w:left="0" w:firstLine="0"/>
      </w:pPr>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8"/>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1B05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next w:val="1"/>
    <w:link w:val="138"/>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1"/>
    <w:link w:val="151"/>
    <w:semiHidden/>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1"/>
    <w:link w:val="152"/>
    <w:semiHidden/>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1"/>
    <w:link w:val="153"/>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1"/>
    <w:link w:val="154"/>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1"/>
    <w:link w:val="155"/>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56"/>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39">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qFormat/>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next w:val="1"/>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next w:val="1"/>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6">
    <w:name w:val="Light Shading Accent 2"/>
    <w:basedOn w:val="32"/>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37">
    <w:name w:val="Light Shading Accent 3"/>
    <w:basedOn w:val="32"/>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38">
    <w:name w:val="Light Shading Accent 4"/>
    <w:basedOn w:val="32"/>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39">
    <w:name w:val="Light Shading Accent 5"/>
    <w:basedOn w:val="32"/>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0">
    <w:name w:val="Light Shading Accent 6"/>
    <w:basedOn w:val="32"/>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3">
    <w:name w:val="Light List Accent 2"/>
    <w:basedOn w:val="32"/>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4">
    <w:name w:val="Light List Accent 3"/>
    <w:basedOn w:val="32"/>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5">
    <w:name w:val="Light List Accent 4"/>
    <w:basedOn w:val="32"/>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6">
    <w:name w:val="Light List Accent 5"/>
    <w:basedOn w:val="32"/>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47">
    <w:name w:val="Light List Accent 6"/>
    <w:basedOn w:val="32"/>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5">
    <w:name w:val="Medium Grid 1 Accent 2"/>
    <w:basedOn w:val="32"/>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6">
    <w:name w:val="Medium Grid 1 Accent 3"/>
    <w:basedOn w:val="32"/>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87">
    <w:name w:val="Medium Grid 1 Accent 4"/>
    <w:basedOn w:val="32"/>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88">
    <w:name w:val="Medium Grid 1 Accent 5"/>
    <w:basedOn w:val="32"/>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89">
    <w:name w:val="Medium Grid 1 Accent 6"/>
    <w:basedOn w:val="32"/>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3">
    <w:name w:val="Strong"/>
    <w:basedOn w:val="139"/>
    <w:qFormat/>
    <w:uiPriority w:val="22"/>
    <w:rPr>
      <w:b/>
      <w:bCs/>
    </w:rPr>
  </w:style>
  <w:style w:type="character" w:styleId="134">
    <w:name w:val="Emphasis"/>
    <w:basedOn w:val="139"/>
    <w:qFormat/>
    <w:uiPriority w:val="20"/>
    <w:rPr>
      <w:i/>
      <w:iCs/>
    </w:rPr>
  </w:style>
  <w:style w:type="character" w:customStyle="1" w:styleId="135">
    <w:name w:val="Header Char"/>
    <w:basedOn w:val="139"/>
    <w:link w:val="25"/>
    <w:qFormat/>
    <w:uiPriority w:val="99"/>
  </w:style>
  <w:style w:type="character" w:customStyle="1" w:styleId="136">
    <w:name w:val="Footer Char"/>
    <w:basedOn w:val="139"/>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9"/>
    <w:link w:val="3"/>
    <w:qFormat/>
    <w:uiPriority w:val="9"/>
    <w:rPr>
      <w:rFonts w:ascii="Times New Roman" w:hAnsi="Times New Roman" w:eastAsia="黑体" w:cs="Times New Roman"/>
      <w:color w:val="000000"/>
      <w:kern w:val="44"/>
      <w:sz w:val="32"/>
      <w:szCs w:val="44"/>
    </w:rPr>
  </w:style>
  <w:style w:type="character" w:customStyle="1" w:styleId="140">
    <w:name w:val="Heading 2 Char"/>
    <w:basedOn w:val="139"/>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1">
    <w:name w:val="Heading 3 Char"/>
    <w:basedOn w:val="139"/>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2">
    <w:name w:val="Title Char"/>
    <w:basedOn w:val="139"/>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3">
    <w:name w:val="Subtitle Char"/>
    <w:basedOn w:val="139"/>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9"/>
    <w:qFormat/>
    <w:uiPriority w:val="99"/>
  </w:style>
  <w:style w:type="character" w:customStyle="1" w:styleId="146">
    <w:name w:val="Body Text 2 Char"/>
    <w:basedOn w:val="139"/>
    <w:link w:val="28"/>
    <w:qFormat/>
    <w:uiPriority w:val="99"/>
  </w:style>
  <w:style w:type="character" w:customStyle="1" w:styleId="147">
    <w:name w:val="Body Text 3 Char"/>
    <w:basedOn w:val="139"/>
    <w:link w:val="17"/>
    <w:qFormat/>
    <w:uiPriority w:val="99"/>
    <w:rPr>
      <w:sz w:val="16"/>
      <w:szCs w:val="16"/>
    </w:rPr>
  </w:style>
  <w:style w:type="character" w:customStyle="1" w:styleId="148">
    <w:name w:val="Macro Text Char"/>
    <w:basedOn w:val="139"/>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9"/>
    <w:link w:val="149"/>
    <w:uiPriority w:val="29"/>
    <w:rPr>
      <w:i/>
      <w:iCs/>
      <w:color w:val="000000" w:themeColor="text1"/>
      <w14:textFill>
        <w14:solidFill>
          <w14:schemeClr w14:val="tx1"/>
        </w14:solidFill>
      </w14:textFill>
    </w:rPr>
  </w:style>
  <w:style w:type="character" w:customStyle="1" w:styleId="151">
    <w:name w:val="Heading 4 Char"/>
    <w:basedOn w:val="139"/>
    <w:link w:val="6"/>
    <w:semiHidden/>
    <w:qFormat/>
    <w:uiPriority w:val="9"/>
    <w:rPr>
      <w:rFonts w:ascii="Times New Roman" w:hAnsi="Times New Roman" w:eastAsia="黑体" w:cs="Times New Roman"/>
      <w:bCs/>
      <w:kern w:val="2"/>
      <w:sz w:val="28"/>
      <w:szCs w:val="28"/>
    </w:rPr>
  </w:style>
  <w:style w:type="character" w:customStyle="1" w:styleId="152">
    <w:name w:val="Heading 5 Char"/>
    <w:basedOn w:val="139"/>
    <w:link w:val="7"/>
    <w:semiHidden/>
    <w:qFormat/>
    <w:uiPriority w:val="9"/>
    <w:rPr>
      <w:rFonts w:ascii="Times New Roman" w:hAnsi="Times New Roman" w:eastAsia="黑体" w:cs="Times New Roman"/>
      <w:bCs/>
      <w:kern w:val="2"/>
      <w:sz w:val="28"/>
      <w:szCs w:val="28"/>
    </w:rPr>
  </w:style>
  <w:style w:type="character" w:customStyle="1" w:styleId="153">
    <w:name w:val="Heading 6 Char"/>
    <w:basedOn w:val="139"/>
    <w:link w:val="8"/>
    <w:semiHidden/>
    <w:qFormat/>
    <w:uiPriority w:val="9"/>
    <w:rPr>
      <w:rFonts w:ascii="Times New Roman" w:hAnsi="Times New Roman" w:eastAsia="黑体" w:cs="Times New Roman"/>
      <w:bCs/>
      <w:kern w:val="2"/>
      <w:sz w:val="28"/>
      <w:szCs w:val="24"/>
    </w:rPr>
  </w:style>
  <w:style w:type="character" w:customStyle="1" w:styleId="154">
    <w:name w:val="Heading 7 Char"/>
    <w:basedOn w:val="139"/>
    <w:link w:val="9"/>
    <w:semiHidden/>
    <w:qFormat/>
    <w:uiPriority w:val="9"/>
    <w:rPr>
      <w:rFonts w:ascii="Times New Roman" w:hAnsi="Times New Roman" w:eastAsia="黑体" w:cs="Times New Roman"/>
      <w:bCs/>
      <w:kern w:val="2"/>
      <w:sz w:val="24"/>
      <w:szCs w:val="24"/>
    </w:rPr>
  </w:style>
  <w:style w:type="character" w:customStyle="1" w:styleId="155">
    <w:name w:val="Heading 8 Char"/>
    <w:basedOn w:val="139"/>
    <w:link w:val="10"/>
    <w:semiHidden/>
    <w:uiPriority w:val="9"/>
    <w:rPr>
      <w:rFonts w:ascii="Times New Roman" w:hAnsi="Times New Roman" w:eastAsia="黑体" w:cs="Times New Roman"/>
      <w:kern w:val="2"/>
      <w:sz w:val="24"/>
      <w:szCs w:val="24"/>
    </w:rPr>
  </w:style>
  <w:style w:type="character" w:customStyle="1" w:styleId="156">
    <w:name w:val="Heading 9 Char"/>
    <w:basedOn w:val="139"/>
    <w:link w:val="11"/>
    <w:semiHidden/>
    <w:qFormat/>
    <w:uiPriority w:val="9"/>
    <w:rPr>
      <w:rFonts w:ascii="Times New Roman" w:hAnsi="Times New Roman" w:eastAsia="黑体" w:cs="Times New Roman"/>
      <w:kern w:val="2"/>
      <w:sz w:val="21"/>
      <w:szCs w:val="21"/>
    </w:rPr>
  </w:style>
  <w:style w:type="paragraph" w:styleId="157">
    <w:name w:val="Intense Quote"/>
    <w:basedOn w:val="1"/>
    <w:next w:val="1"/>
    <w:link w:val="158"/>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58">
    <w:name w:val="Intense Quote Char"/>
    <w:basedOn w:val="139"/>
    <w:link w:val="157"/>
    <w:qFormat/>
    <w:uiPriority w:val="30"/>
    <w:rPr>
      <w:b/>
      <w:bCs/>
      <w:i/>
      <w:iCs/>
      <w:color w:val="4874CB" w:themeColor="accent1"/>
      <w14:textFill>
        <w14:solidFill>
          <w14:schemeClr w14:val="accent1"/>
        </w14:solidFill>
      </w14:textFill>
    </w:rPr>
  </w:style>
  <w:style w:type="character" w:customStyle="1" w:styleId="159">
    <w:name w:val="Subtle Emphasis"/>
    <w:basedOn w:val="139"/>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9"/>
    <w:qFormat/>
    <w:uiPriority w:val="21"/>
    <w:rPr>
      <w:b/>
      <w:bCs/>
      <w:i/>
      <w:iCs/>
      <w:color w:val="4874CB" w:themeColor="accent1"/>
      <w14:textFill>
        <w14:solidFill>
          <w14:schemeClr w14:val="accent1"/>
        </w14:solidFill>
      </w14:textFill>
    </w:rPr>
  </w:style>
  <w:style w:type="character" w:customStyle="1" w:styleId="161">
    <w:name w:val="Subtle Reference"/>
    <w:basedOn w:val="139"/>
    <w:qFormat/>
    <w:uiPriority w:val="31"/>
    <w:rPr>
      <w:smallCaps/>
      <w:color w:val="EE822F" w:themeColor="accent2"/>
      <w:u w:val="single"/>
      <w14:textFill>
        <w14:solidFill>
          <w14:schemeClr w14:val="accent2"/>
        </w14:solidFill>
      </w14:textFill>
    </w:rPr>
  </w:style>
  <w:style w:type="character" w:customStyle="1" w:styleId="162">
    <w:name w:val="Intense Reference"/>
    <w:basedOn w:val="139"/>
    <w:qFormat/>
    <w:uiPriority w:val="32"/>
    <w:rPr>
      <w:b/>
      <w:bCs/>
      <w:smallCaps/>
      <w:color w:val="EE822F" w:themeColor="accent2"/>
      <w:spacing w:val="5"/>
      <w:u w:val="single"/>
      <w14:textFill>
        <w14:solidFill>
          <w14:schemeClr w14:val="accent2"/>
        </w14:solidFill>
      </w14:textFill>
    </w:rPr>
  </w:style>
  <w:style w:type="character" w:customStyle="1" w:styleId="163">
    <w:name w:val="Book Title"/>
    <w:basedOn w:val="139"/>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附录标题"/>
    <w:next w:val="1"/>
    <w:uiPriority w:val="0"/>
    <w:pPr>
      <w:widowControl w:val="0"/>
      <w:adjustRightInd w:val="0"/>
      <w:spacing w:before="100" w:after="100" w:line="360" w:lineRule="auto"/>
      <w:jc w:val="both"/>
      <w:outlineLvl w:val="0"/>
    </w:pPr>
    <w:rPr>
      <w:rFonts w:ascii="Times New Roman" w:hAnsi="Times New Roman" w:eastAsia="黑体" w:cs="Times New Roman"/>
      <w:color w:val="000000"/>
      <w:kern w:val="44"/>
      <w:sz w:val="36"/>
      <w:szCs w:val="44"/>
      <w:lang w:bidi="ar-SA"/>
    </w:rPr>
  </w:style>
  <w:style w:type="paragraph" w:customStyle="1" w:styleId="166">
    <w:name w:val="参考文献条目"/>
    <w:next w:val="1"/>
    <w:uiPriority w:val="0"/>
    <w:pPr>
      <w:widowControl w:val="0"/>
      <w:adjustRightInd w:val="0"/>
      <w:spacing w:line="300" w:lineRule="auto"/>
      <w:ind w:left="200" w:hanging="200" w:hangingChars="200"/>
      <w:jc w:val="both"/>
    </w:pPr>
    <w:rPr>
      <w:rFonts w:ascii="Times New Roman" w:hAnsi="Times New Roman" w:eastAsia="宋体" w:cs="宋体"/>
      <w:kern w:val="2"/>
      <w:sz w:val="21"/>
      <w:szCs w:val="21"/>
      <w:lang w:bidi="ar-SA"/>
    </w:rPr>
  </w:style>
  <w:style w:type="paragraph" w:customStyle="1" w:styleId="167">
    <w:name w:val="章标题"/>
    <w:next w:val="1"/>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3048</Words>
  <Characters>3892</Characters>
  <Lines>0</Lines>
  <Paragraphs>0</Paragraphs>
  <TotalTime>171</TotalTime>
  <ScaleCrop>false</ScaleCrop>
  <LinksUpToDate>false</LinksUpToDate>
  <CharactersWithSpaces>4202</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陈霈泽</cp:lastModifiedBy>
  <dcterms:modified xsi:type="dcterms:W3CDTF">2026-09-23T11:25:18Z</dcterms:modified>
  <dc:subject>基于原题的简化重述，保留任务与数据要求</dc:subject>
  <dc:title>2026年中国研究生数学建模竞赛F题：算力约束下提升大语言模型能力的资源配置建模（精简重构版）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eyJoZGlkIjoiNzNjZjU3NTdkN2Y4N2QyYThlYjU4NWY4OTIzZjI4ZWMiLCJ1c2VySWQiOiIxNTY2MzAyMDYwIn0=</vt:lpwstr>
  </property>
  <property fmtid="{D5CDD505-2E9C-101B-9397-08002B2CF9AE}" pid="3" name="KSOProductBuildVer">
    <vt:lpwstr>2052-12.1.0.28022</vt:lpwstr>
  </property>
  <property fmtid="{D5CDD505-2E9C-101B-9397-08002B2CF9AE}" pid="4" name="ICV">
    <vt:lpwstr>F41C020991FF402182A6DC6DD2CE29F3_12</vt:lpwstr>
  </property>
</Properties>
</file>