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FDB7" w14:textId="33D4B2F6" w:rsidR="006935EB" w:rsidRDefault="006935EB" w:rsidP="006935EB">
      <w:pPr>
        <w:jc w:val="center"/>
        <w:rPr>
          <w:rFonts w:ascii="Times New Roman" w:hAnsi="Times New Roman" w:cs="Times New Roman"/>
          <w:sz w:val="20"/>
          <w:szCs w:val="20"/>
        </w:rPr>
      </w:pPr>
      <w:r w:rsidRPr="006935EB">
        <w:rPr>
          <w:rFonts w:ascii="Times New Roman" w:hAnsi="Times New Roman" w:cs="Times New Roman"/>
          <w:sz w:val="20"/>
          <w:szCs w:val="20"/>
        </w:rPr>
        <w:t>The Role of Logic in Modern Artificial Intelligence</w:t>
      </w:r>
    </w:p>
    <w:p w14:paraId="2157E167" w14:textId="01E25E10" w:rsidR="006935EB" w:rsidRP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Logic has shaped artificial intelligence (AI) since its inception by providing a precise language for describing the world and sound procedures for drawing conclusions. Whereas early “symbolic AI” sought to build intelligent behavior entirely from formal rules, contemporary practice blends statistical learning with logical structure. In this hybrid landscape, logic remains indispensable because it brings three assets that purely inductive methods lack: (i) explicit knowledge that can be inspected and debugged, (ii) normative guarantees about what follows from what, and (iii) a vehicle for constraints, safety, and accountability.</w:t>
      </w:r>
    </w:p>
    <w:p w14:paraId="108A3A9D" w14:textId="643F455B" w:rsidR="006935EB" w:rsidRP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In knowledge representation, classical first-order logic and its fragments still underlie ontologies, taxonomies, and knowledge graphs. Description logics power expressive schema languages that support tasks such as subsumption, instance checking, and query answering. Logical formalisms let engineers state domain regularities—e.g., “every transaction must have a payer and payee” or “no patient can be simultaneously allergic and non-allergic to a drug”—and then use established reasoners to detect inconsistencies or fill in implied facts. Because the syntax and semantics are explicit, stakeholders can audit what the system knows and why a particular entailment holds.</w:t>
      </w:r>
    </w:p>
    <w:p w14:paraId="0243BB05" w14:textId="6A54A114" w:rsid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A second modern role is computation through satisfiability and constraint solving. Boolean satisfiability (SAT) and satisfiability modulo theories (SMT) engines solve large discrete search problems at industrial scale: test-case generation, type and model checking, compiler optimization, hardware verification, and scheduling. In machine-learning systems, SAT/SMT and mixed-integer solvers enforce hard constraints (“solutions must be feasible”) or verify outputs produced by a generative model. This “generate–then–check” pattern is increasingly common: a neural model proposes candidates; a symbolic solver eliminates those violating logical requirements. The result is higher reliability without retraining the model to memorize every rule.</w:t>
      </w:r>
    </w:p>
    <w:p w14:paraId="26E9F812" w14:textId="4BB4781F" w:rsid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Large language models (LLMs) have revived interest in neuro-symbolic integration. LLMs excel at proposing plausible steps in natural language or code, but they can hallucinate or violate domain invariants. Logical tools mitigate these risks. For example, program-of-thought and tool-use approaches externalize reasoning to libraries and solvers; rule checkers and contracts reject illegal actions; theorem provers verify formal claims; and planning formalisms (e.g., PDDL-style operators) give LLMs a structured search space to explore. Conversely, LLMs can assist logic by suggesting candidate invariants, rewriting formulas, or producing proof sketches that a symbolic backend validates.</w:t>
      </w:r>
    </w:p>
    <w:p w14:paraId="167A8CD6" w14:textId="657120C4" w:rsid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Logic is equally important for governance. Safety policies, privacy rules, and compliance obligations are naturally stated as logical constraints over events and records. Temporal and deontic logics can specify what must always, never, or eventually happen; runtime monitors then flag violations. In human-centered AI, explainability benefits from logic because explanations can be couched as minimal sets of premises that entail a decision, or as counterfactual conditions that would have changed it.</w:t>
      </w:r>
    </w:p>
    <w:p w14:paraId="634B8C27" w14:textId="4002E16F" w:rsid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Despite these strengths, logic has limits. Hand-crafting complete knowledge bases is expensive; classical reasoning can be brittle under open-world uncertainty; and worst-case complexity is high. Modern systems therefore adopt pragmatic hybrids: learn patterns from data, but keep a logical layer to express constraints, verify critical properties, and expose knowledge to human oversight. Advances in differentiable reasoning, neuro-symbolic architectures, and learned heuristics for solvers continue to narrow the gap between symbolic rigor and statistical generalization.</w:t>
      </w:r>
    </w:p>
    <w:p w14:paraId="6783420F" w14:textId="29402787" w:rsid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In sum, logic in modern AI is not a relic of “Good Old-Fashioned AI” but a living interface between what we know for sure and what we infer from data. Rather than competing with learning, logic complements it—turning black-box predictors into components of systems we can trust, explain, and govern.</w:t>
      </w:r>
    </w:p>
    <w:p w14:paraId="797D4881"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lastRenderedPageBreak/>
        <w:t>References</w:t>
      </w:r>
    </w:p>
    <w:p w14:paraId="56538768" w14:textId="77777777" w:rsidR="006935EB" w:rsidRPr="006935EB" w:rsidRDefault="006935EB" w:rsidP="006935EB">
      <w:pPr>
        <w:rPr>
          <w:rFonts w:ascii="Times New Roman" w:hAnsi="Times New Roman" w:cs="Times New Roman"/>
          <w:sz w:val="20"/>
          <w:szCs w:val="20"/>
        </w:rPr>
      </w:pPr>
    </w:p>
    <w:p w14:paraId="5D7E7513"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t>Brachman, R., &amp; Levesque, H. (2004). Knowledge Representation and Reasoning. Morgan Kaufmann.</w:t>
      </w:r>
    </w:p>
    <w:p w14:paraId="575E4101"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t>Russell, S., &amp; Norvig, P. (2021). Artificial Intelligence: A Modern Approach (4th ed.). Pearson.</w:t>
      </w:r>
    </w:p>
    <w:p w14:paraId="55F09ACE"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t>Barrett, C., Sebastiani, R., Seshia, S. A., &amp; Tinelli, C. (2009). Satisfiability Modulo Theories. In Handbook of Satisfiability. IOS Press.</w:t>
      </w:r>
    </w:p>
    <w:p w14:paraId="0A6FA9B4"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t>De Raedt, L., Kersting, K., Natarajan, S., &amp; Poole, D. (2016). Statistical Relational AI: Logic, Probability, and Computation. Morgan &amp; Claypool.</w:t>
      </w:r>
    </w:p>
    <w:p w14:paraId="78CE2233" w14:textId="77777777" w:rsidR="006935EB" w:rsidRPr="006935EB" w:rsidRDefault="006935EB" w:rsidP="006935EB">
      <w:pPr>
        <w:rPr>
          <w:rFonts w:ascii="Times New Roman" w:hAnsi="Times New Roman" w:cs="Times New Roman"/>
          <w:sz w:val="20"/>
          <w:szCs w:val="20"/>
        </w:rPr>
      </w:pPr>
      <w:r w:rsidRPr="006935EB">
        <w:rPr>
          <w:rFonts w:ascii="Times New Roman" w:hAnsi="Times New Roman" w:cs="Times New Roman"/>
          <w:sz w:val="20"/>
          <w:szCs w:val="20"/>
        </w:rPr>
        <w:t>Garcez, A. d’Avila, Lamb, L. C., &amp; Gabbay, D. (2009). Neural-Symbolic Cognitive Reasoning. Springer.</w:t>
      </w:r>
    </w:p>
    <w:p w14:paraId="1BCD5E84" w14:textId="1702E721" w:rsidR="006935EB" w:rsidRPr="006935EB" w:rsidRDefault="006935EB" w:rsidP="006935EB">
      <w:pPr>
        <w:rPr>
          <w:rFonts w:ascii="Times New Roman" w:hAnsi="Times New Roman" w:cs="Times New Roman" w:hint="eastAsia"/>
          <w:sz w:val="20"/>
          <w:szCs w:val="20"/>
        </w:rPr>
      </w:pPr>
      <w:r w:rsidRPr="006935EB">
        <w:rPr>
          <w:rFonts w:ascii="Times New Roman" w:hAnsi="Times New Roman" w:cs="Times New Roman"/>
          <w:sz w:val="20"/>
          <w:szCs w:val="20"/>
        </w:rPr>
        <w:t>Kimmig, A., Bach, S., &amp; Getoor, L. (2015). Probabilistic Soft Logic for Relational Machine Learning. Communications of the ACM, 58(12), 98–107.</w:t>
      </w:r>
    </w:p>
    <w:sectPr w:rsidR="006935EB" w:rsidRPr="00693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89"/>
    <w:rsid w:val="003D57AA"/>
    <w:rsid w:val="006935EB"/>
    <w:rsid w:val="00905A89"/>
    <w:rsid w:val="00B5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33B41"/>
  <w15:chartTrackingRefBased/>
  <w15:docId w15:val="{819DFF5D-E1F8-4EBD-A0C4-8C81559C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57305">
      <w:bodyDiv w:val="1"/>
      <w:marLeft w:val="0"/>
      <w:marRight w:val="0"/>
      <w:marTop w:val="0"/>
      <w:marBottom w:val="0"/>
      <w:divBdr>
        <w:top w:val="none" w:sz="0" w:space="0" w:color="auto"/>
        <w:left w:val="none" w:sz="0" w:space="0" w:color="auto"/>
        <w:bottom w:val="none" w:sz="0" w:space="0" w:color="auto"/>
        <w:right w:val="none" w:sz="0" w:space="0" w:color="auto"/>
      </w:divBdr>
    </w:div>
    <w:div w:id="16455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v8326</dc:creator>
  <cp:keywords/>
  <dc:description/>
  <cp:lastModifiedBy>v8326</cp:lastModifiedBy>
  <cp:revision>3</cp:revision>
  <dcterms:created xsi:type="dcterms:W3CDTF">2025-09-25T13:12:00Z</dcterms:created>
  <dcterms:modified xsi:type="dcterms:W3CDTF">2025-09-25T13:19:00Z</dcterms:modified>
</cp:coreProperties>
</file>