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F5C05">
      <w:pPr>
        <w:numPr>
          <w:ilvl w:val="0"/>
          <w:numId w:val="0"/>
        </w:numPr>
        <w:spacing w:line="240" w:lineRule="auto"/>
        <w:rPr>
          <w:rFonts w:hint="eastAsia"/>
          <w:sz w:val="22"/>
          <w:szCs w:val="22"/>
          <w:lang w:val="en-US" w:eastAsia="zh-CN"/>
        </w:rPr>
      </w:pPr>
      <w:r>
        <w:rPr>
          <w:rFonts w:hint="eastAsia"/>
          <w:sz w:val="22"/>
          <w:szCs w:val="22"/>
          <w:lang w:val="en-US" w:eastAsia="zh-CN"/>
        </w:rPr>
        <w:t>3.1 固定音高乐器</w:t>
      </w:r>
    </w:p>
    <w:p w14:paraId="49F56000">
      <w:pPr>
        <w:numPr>
          <w:ilvl w:val="0"/>
          <w:numId w:val="0"/>
        </w:numPr>
        <w:spacing w:line="240" w:lineRule="auto"/>
        <w:rPr>
          <w:rFonts w:hint="eastAsia"/>
          <w:sz w:val="22"/>
          <w:szCs w:val="22"/>
          <w:lang w:val="en-US" w:eastAsia="zh-CN"/>
        </w:rPr>
      </w:pPr>
    </w:p>
    <w:p w14:paraId="73F138E7">
      <w:pPr>
        <w:numPr>
          <w:ilvl w:val="0"/>
          <w:numId w:val="0"/>
        </w:numPr>
        <w:spacing w:line="240" w:lineRule="auto"/>
        <w:rPr>
          <w:rFonts w:hint="eastAsia"/>
          <w:sz w:val="22"/>
          <w:szCs w:val="22"/>
          <w:lang w:val="en-US" w:eastAsia="zh-CN"/>
        </w:rPr>
      </w:pPr>
      <w:r>
        <w:rPr>
          <w:rFonts w:hint="eastAsia"/>
          <w:sz w:val="22"/>
          <w:szCs w:val="22"/>
          <w:lang w:val="en-US" w:eastAsia="zh-CN"/>
        </w:rPr>
        <w:t xml:space="preserve">  固定音高乐器是指在演奏过程中音高固定不变的乐器，其音高只要取决于乐器的物理结构，如弦长、管长、材料等，不需要演奏者通过技巧来调整音高。这类乐器便于演奏者识读乐谱和演奏音符，且通常符合十二平均律或其他律制，以确保在不同演奏场合下音高的一致性，适用于各种调性的乐曲。常见的固定音高乐器有钢琴、吉他等弦发声乐器，长笛、号等吹奏乐器以及定音鼓。</w:t>
      </w:r>
    </w:p>
    <w:p w14:paraId="55ED2E72">
      <w:pPr>
        <w:numPr>
          <w:ilvl w:val="0"/>
          <w:numId w:val="0"/>
        </w:numPr>
        <w:spacing w:line="240" w:lineRule="auto"/>
        <w:rPr>
          <w:rFonts w:hint="eastAsia"/>
          <w:sz w:val="22"/>
          <w:szCs w:val="22"/>
          <w:lang w:val="en-US" w:eastAsia="zh-CN"/>
        </w:rPr>
      </w:pPr>
    </w:p>
    <w:p w14:paraId="1BA36EF2">
      <w:pPr>
        <w:numPr>
          <w:ilvl w:val="0"/>
          <w:numId w:val="0"/>
        </w:numPr>
        <w:spacing w:line="240" w:lineRule="auto"/>
        <w:rPr>
          <w:rFonts w:hint="eastAsia"/>
          <w:sz w:val="22"/>
          <w:szCs w:val="22"/>
          <w:lang w:val="en-US" w:eastAsia="zh-CN"/>
        </w:rPr>
      </w:pPr>
      <w:r>
        <w:rPr>
          <w:rFonts w:hint="eastAsia"/>
          <w:sz w:val="22"/>
          <w:szCs w:val="22"/>
          <w:lang w:val="en-US" w:eastAsia="zh-CN"/>
        </w:rPr>
        <w:t xml:space="preserve">  对于钢琴、吉他等弦发声乐器，其音高由琴弦的振动频率所决定，频率由以下物理公式求得：</w:t>
      </w:r>
    </w:p>
    <w:p w14:paraId="54A68715">
      <w:pPr>
        <w:numPr>
          <w:ilvl w:val="0"/>
          <w:numId w:val="0"/>
        </w:numPr>
        <w:spacing w:line="240" w:lineRule="auto"/>
        <m:rPr/>
        <w:rPr>
          <w:rFonts w:hint="default" w:hAnsi="Cambria Math" w:cstheme="minorBidi"/>
          <w:i w:val="0"/>
          <w:kern w:val="2"/>
          <w:sz w:val="22"/>
          <w:szCs w:val="22"/>
          <w:lang w:val="en-US" w:eastAsia="zh-CN" w:bidi="ar-SA"/>
        </w:rPr>
      </w:pPr>
      <w:r>
        <w:rPr>
          <w:rFonts w:hint="eastAsia"/>
          <w:sz w:val="22"/>
          <w:szCs w:val="22"/>
          <w:lang w:val="en-US" w:eastAsia="zh-CN"/>
        </w:rPr>
        <w:t xml:space="preserve">                        </w:t>
      </w:r>
      <w:r>
        <w:rPr>
          <w:rFonts w:hint="eastAsia"/>
          <w:sz w:val="22"/>
          <w:szCs w:val="22"/>
          <w:lang w:val="en-US" w:eastAsia="zh-CN"/>
        </w:rPr>
        <w:t xml:space="preserve">  </w:t>
      </w:r>
      <w:r>
        <w:rPr>
          <w:rFonts w:hint="eastAsia"/>
          <w:sz w:val="22"/>
          <w:szCs w:val="22"/>
          <w:lang w:val="en-US" w:eastAsia="zh-CN"/>
        </w:rPr>
        <w:t xml:space="preserve">  </w:t>
      </w:r>
      <w:r>
        <w:rPr>
          <w:rFonts w:hint="eastAsia"/>
          <w:sz w:val="22"/>
          <w:szCs w:val="22"/>
          <w:lang w:val="en-US" w:eastAsia="zh-CN"/>
        </w:rPr>
        <w:t xml:space="preserve"> </w:t>
      </w:r>
      <m:oMath>
        <m:r>
          <m:rPr>
            <m:sty m:val="p"/>
          </m:rPr>
          <w:rPr>
            <w:rFonts w:hint="default" w:ascii="Cambria Math"/>
            <w:sz w:val="22"/>
            <w:szCs w:val="22"/>
            <w:lang w:val="en-US" w:eastAsia="zh-CN"/>
          </w:rPr>
          <m:t>f</m:t>
        </m:r>
        <m:r>
          <m:rPr>
            <m:sty m:val="p"/>
          </m:rPr>
          <w:rPr>
            <w:rFonts w:hint="default" w:ascii="Cambria Math" w:hAnsi="Cambria Math" w:cstheme="minorBidi"/>
            <w:kern w:val="2"/>
            <w:sz w:val="22"/>
            <w:szCs w:val="22"/>
            <w:lang w:val="en-US" w:eastAsia="zh-CN" w:bidi="ar-SA"/>
          </w:rPr>
          <m:t>=</m:t>
        </m:r>
        <m:f>
          <m:fPr>
            <m:ctrlPr>
              <m:rPr/>
              <w:rPr>
                <w:rFonts w:hint="default" w:ascii="Cambria Math" w:hAnsi="Cambria Math" w:cstheme="minorBidi"/>
                <w:kern w:val="2"/>
                <w:sz w:val="22"/>
                <w:szCs w:val="22"/>
                <w:lang w:val="en-US" w:eastAsia="zh-CN" w:bidi="ar-SA"/>
              </w:rPr>
            </m:ctrlPr>
          </m:fPr>
          <m:num>
            <m:r>
              <m:rPr>
                <m:sty m:val="p"/>
              </m:rPr>
              <w:rPr>
                <w:rFonts w:hint="default" w:ascii="Cambria Math" w:hAnsi="Cambria Math" w:cstheme="minorBidi"/>
                <w:kern w:val="2"/>
                <w:sz w:val="22"/>
                <w:szCs w:val="22"/>
                <w:lang w:val="en-US" w:eastAsia="zh-CN" w:bidi="ar-SA"/>
              </w:rPr>
              <m:t>1</m:t>
            </m:r>
            <m:ctrlPr>
              <m:rPr/>
              <w:rPr>
                <w:rFonts w:hint="default" w:ascii="Cambria Math" w:hAnsi="Cambria Math" w:cstheme="minorBidi"/>
                <w:kern w:val="2"/>
                <w:sz w:val="22"/>
                <w:szCs w:val="22"/>
                <w:lang w:val="en-US" w:eastAsia="zh-CN" w:bidi="ar-SA"/>
              </w:rPr>
            </m:ctrlPr>
          </m:num>
          <m:den>
            <m:r>
              <m:rPr>
                <m:sty m:val="p"/>
              </m:rPr>
              <w:rPr>
                <w:rFonts w:hint="default" w:ascii="Cambria Math" w:hAnsi="Cambria Math" w:cstheme="minorBidi"/>
                <w:kern w:val="2"/>
                <w:sz w:val="22"/>
                <w:szCs w:val="22"/>
                <w:lang w:val="en-US" w:eastAsia="zh-CN" w:bidi="ar-SA"/>
              </w:rPr>
              <m:t>2L</m:t>
            </m:r>
            <m:ctrlPr>
              <m:rPr/>
              <w:rPr>
                <w:rFonts w:hint="default" w:ascii="Cambria Math" w:hAnsi="Cambria Math" w:cstheme="minorBidi"/>
                <w:kern w:val="2"/>
                <w:sz w:val="22"/>
                <w:szCs w:val="22"/>
                <w:lang w:val="en-US" w:eastAsia="zh-CN" w:bidi="ar-SA"/>
              </w:rPr>
            </m:ctrlPr>
          </m:den>
        </m:f>
        <m:rad>
          <m:radPr>
            <m:degHide m:val="1"/>
            <m:ctrlPr>
              <m:rPr/>
              <w:rPr>
                <w:rFonts w:hint="default" w:ascii="Cambria Math" w:hAnsi="Cambria Math" w:cstheme="minorBidi"/>
                <w:kern w:val="2"/>
                <w:sz w:val="22"/>
                <w:szCs w:val="22"/>
                <w:lang w:val="en-US" w:eastAsia="zh-CN" w:bidi="ar-SA"/>
              </w:rPr>
            </m:ctrlPr>
          </m:radPr>
          <m:deg>
            <m:ctrlPr>
              <m:rPr/>
              <w:rPr>
                <w:rFonts w:hint="default" w:ascii="Cambria Math" w:hAnsi="Cambria Math" w:cstheme="minorBidi"/>
                <w:kern w:val="2"/>
                <w:sz w:val="22"/>
                <w:szCs w:val="22"/>
                <w:lang w:val="en-US" w:eastAsia="zh-CN" w:bidi="ar-SA"/>
              </w:rPr>
            </m:ctrlPr>
          </m:deg>
          <m:e>
            <m:f>
              <m:fPr>
                <m:ctrlPr>
                  <m:rPr/>
                  <w:rPr>
                    <w:rFonts w:hint="default" w:ascii="Cambria Math" w:hAnsi="Cambria Math" w:cstheme="minorBidi"/>
                    <w:kern w:val="2"/>
                    <w:sz w:val="22"/>
                    <w:szCs w:val="22"/>
                    <w:lang w:val="en-US" w:eastAsia="zh-CN" w:bidi="ar-SA"/>
                  </w:rPr>
                </m:ctrlPr>
              </m:fPr>
              <m:num>
                <m:r>
                  <m:rPr>
                    <m:sty m:val="p"/>
                  </m:rPr>
                  <w:rPr>
                    <w:rFonts w:hint="default" w:ascii="Cambria Math" w:hAnsi="Cambria Math" w:cstheme="minorBidi"/>
                    <w:kern w:val="2"/>
                    <w:sz w:val="22"/>
                    <w:szCs w:val="22"/>
                    <w:lang w:val="en-US" w:eastAsia="zh-CN" w:bidi="ar-SA"/>
                  </w:rPr>
                  <m:t>T</m:t>
                </m:r>
                <m:ctrlPr>
                  <m:rPr/>
                  <w:rPr>
                    <w:rFonts w:hint="default" w:ascii="Cambria Math" w:hAnsi="Cambria Math" w:cstheme="minorBidi"/>
                    <w:kern w:val="2"/>
                    <w:sz w:val="22"/>
                    <w:szCs w:val="22"/>
                    <w:lang w:val="en-US" w:eastAsia="zh-CN" w:bidi="ar-SA"/>
                  </w:rPr>
                </m:ctrlPr>
              </m:num>
              <m:den>
                <m:r>
                  <m:rPr>
                    <m:sty m:val="p"/>
                  </m:rPr>
                  <w:rPr>
                    <w:rFonts w:ascii="Cambria Math" w:hAnsi="Cambria Math" w:cstheme="minorBidi"/>
                    <w:kern w:val="2"/>
                    <w:sz w:val="22"/>
                    <w:szCs w:val="22"/>
                    <w:lang w:val="en-US" w:bidi="ar-SA"/>
                  </w:rPr>
                  <m:t>μ</m:t>
                </m:r>
                <m:ctrlPr>
                  <m:rPr/>
                  <w:rPr>
                    <w:rFonts w:hint="default" w:ascii="Cambria Math" w:hAnsi="Cambria Math" w:cstheme="minorBidi"/>
                    <w:kern w:val="2"/>
                    <w:sz w:val="22"/>
                    <w:szCs w:val="22"/>
                    <w:lang w:val="en-US" w:eastAsia="zh-CN" w:bidi="ar-SA"/>
                  </w:rPr>
                </m:ctrlPr>
              </m:den>
            </m:f>
            <m:ctrlPr>
              <m:rPr/>
              <w:rPr>
                <w:rFonts w:hint="default" w:ascii="Cambria Math" w:hAnsi="Cambria Math" w:cstheme="minorBidi"/>
                <w:kern w:val="2"/>
                <w:sz w:val="22"/>
                <w:szCs w:val="22"/>
                <w:lang w:val="en-US" w:eastAsia="zh-CN" w:bidi="ar-SA"/>
              </w:rPr>
            </m:ctrlPr>
          </m:e>
        </m:rad>
      </m:oMath>
    </w:p>
    <w:p w14:paraId="33843DD3">
      <w:pPr>
        <w:numPr>
          <w:ilvl w:val="0"/>
          <w:numId w:val="0"/>
        </w:numPr>
        <w:spacing w:line="240" w:lineRule="auto"/>
        <w:rPr>
          <w:rFonts w:hint="eastAsia" w:ascii="宋体" w:hAnsi="宋体" w:eastAsia="宋体" w:cs="宋体"/>
          <w:sz w:val="22"/>
          <w:szCs w:val="22"/>
          <w:lang w:val="en-US" w:eastAsia="zh-CN"/>
        </w:rPr>
      </w:pPr>
      <w:r>
        <m:rPr/>
        <w:rPr>
          <w:rFonts w:hint="eastAsia" w:hAnsi="Cambria Math" w:cstheme="minorBidi"/>
          <w:i w:val="0"/>
          <w:kern w:val="2"/>
          <w:sz w:val="22"/>
          <w:szCs w:val="22"/>
          <w:lang w:val="en-US" w:eastAsia="zh-CN" w:bidi="ar-SA"/>
        </w:rPr>
        <w:t>对于钢琴来说，它的音高固定本质上源于琴弦的振动频率的控制。</w:t>
      </w:r>
      <w:r>
        <w:rPr>
          <w:rFonts w:ascii="宋体" w:hAnsi="宋体" w:eastAsia="宋体" w:cs="宋体"/>
          <w:sz w:val="22"/>
          <w:szCs w:val="22"/>
        </w:rPr>
        <w:t>琴槌</w:t>
      </w:r>
      <w:r>
        <w:rPr>
          <w:rFonts w:hint="eastAsia" w:ascii="宋体" w:hAnsi="宋体" w:eastAsia="宋体" w:cs="宋体"/>
          <w:sz w:val="22"/>
          <w:szCs w:val="22"/>
          <w:lang w:val="en-US" w:eastAsia="zh-CN"/>
        </w:rPr>
        <w:t>敲击琴弦后，琴弦以基频振动并产生一系列频率为基频整数倍的泛音：</w:t>
      </w:r>
    </w:p>
    <w:p w14:paraId="71E21DF8">
      <w:pPr>
        <w:numPr>
          <w:ilvl w:val="0"/>
          <w:numId w:val="0"/>
        </w:numPr>
        <w:spacing w:line="240" w:lineRule="auto"/>
        <m:rPr/>
        <w:rPr>
          <w:rFonts w:hint="default" w:hAnsi="Cambria Math" w:cs="Cambria Math"/>
          <w:i w:val="0"/>
          <w:sz w:val="22"/>
          <w:szCs w:val="22"/>
          <w:lang w:val="en-US" w:eastAsia="zh-CN"/>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lang w:val="en-US" w:eastAsia="zh-CN"/>
        </w:rPr>
        <w:t xml:space="preserve"> </w:t>
      </w:r>
      <w:r>
        <w:rPr>
          <w:rFonts w:hint="eastAsia" w:ascii="宋体" w:hAnsi="宋体" w:eastAsia="宋体" w:cs="宋体"/>
          <w:sz w:val="22"/>
          <w:szCs w:val="22"/>
          <w:lang w:val="en-US" w:eastAsia="zh-CN"/>
        </w:rPr>
        <w:t xml:space="preserve"> </w:t>
      </w:r>
      <m:oMath>
        <m:sSub>
          <m:sSubPr>
            <m:ctrlPr>
              <w:rPr>
                <w:rFonts w:ascii="Cambria Math" w:hAnsi="Cambria Math" w:cs="宋体"/>
                <w:i/>
                <w:sz w:val="22"/>
                <w:szCs w:val="22"/>
                <w:lang w:val="en-US"/>
              </w:rPr>
            </m:ctrlPr>
          </m:sSubPr>
          <m:e>
            <m:r>
              <m:rPr/>
              <w:rPr>
                <w:rFonts w:hint="default" w:ascii="Cambria Math" w:hAnsi="Cambria Math" w:cs="宋体"/>
                <w:sz w:val="22"/>
                <w:szCs w:val="22"/>
                <w:lang w:val="en-US" w:eastAsia="zh-CN"/>
              </w:rPr>
              <m:t>f</m:t>
            </m:r>
            <m:ctrlPr>
              <w:rPr>
                <w:rFonts w:ascii="Cambria Math" w:hAnsi="Cambria Math" w:cs="宋体"/>
                <w:i/>
                <w:sz w:val="22"/>
                <w:szCs w:val="22"/>
                <w:lang w:val="en-US"/>
              </w:rPr>
            </m:ctrlPr>
          </m:e>
          <m:sub>
            <m:r>
              <m:rPr/>
              <w:rPr>
                <w:rFonts w:hint="default" w:ascii="Cambria Math" w:hAnsi="Cambria Math" w:cs="宋体"/>
                <w:sz w:val="22"/>
                <w:szCs w:val="22"/>
                <w:lang w:val="en-US" w:eastAsia="zh-CN"/>
              </w:rPr>
              <m:t>n</m:t>
            </m:r>
            <m:ctrlPr>
              <w:rPr>
                <w:rFonts w:ascii="Cambria Math" w:hAnsi="Cambria Math" w:cs="宋体"/>
                <w:i/>
                <w:sz w:val="22"/>
                <w:szCs w:val="22"/>
                <w:lang w:val="en-US"/>
              </w:rPr>
            </m:ctrlPr>
          </m:sub>
        </m:sSub>
        <m:r>
          <m:rPr/>
          <w:rPr>
            <w:rFonts w:hint="default" w:ascii="Cambria Math" w:hAnsi="Cambria Math" w:cs="宋体"/>
            <w:sz w:val="22"/>
            <w:szCs w:val="22"/>
            <w:lang w:val="en-US" w:eastAsia="zh-CN"/>
          </w:rPr>
          <m:t>=n</m:t>
        </m:r>
        <m:r>
          <m:rPr/>
          <w:rPr>
            <w:rFonts w:hint="default" w:ascii="Cambria Math" w:hAnsi="Cambria Math" w:cs="Cambria Math"/>
            <w:sz w:val="22"/>
            <w:szCs w:val="22"/>
            <w:lang w:val="en-US" w:eastAsia="zh-CN"/>
          </w:rPr>
          <m:t>∙</m:t>
        </m:r>
        <m:sSub>
          <m:sSubPr>
            <m:ctrlPr>
              <m:rPr/>
              <w:rPr>
                <w:rFonts w:hint="default" w:ascii="Cambria Math" w:hAnsi="Cambria Math" w:cs="Cambria Math"/>
                <w:i/>
                <w:sz w:val="22"/>
                <w:szCs w:val="22"/>
                <w:lang w:val="en-US" w:eastAsia="zh-CN"/>
              </w:rPr>
            </m:ctrlPr>
          </m:sSubPr>
          <m:e>
            <m:r>
              <m:rPr/>
              <w:rPr>
                <w:rFonts w:hint="default" w:ascii="Cambria Math" w:hAnsi="Cambria Math" w:cs="Cambria Math"/>
                <w:sz w:val="22"/>
                <w:szCs w:val="22"/>
                <w:lang w:val="en-US" w:eastAsia="zh-CN"/>
              </w:rPr>
              <m:t>f</m:t>
            </m:r>
            <m:ctrlPr>
              <m:rPr/>
              <w:rPr>
                <w:rFonts w:hint="default" w:ascii="Cambria Math" w:hAnsi="Cambria Math" w:cs="Cambria Math"/>
                <w:i/>
                <w:sz w:val="22"/>
                <w:szCs w:val="22"/>
                <w:lang w:val="en-US" w:eastAsia="zh-CN"/>
              </w:rPr>
            </m:ctrlPr>
          </m:e>
          <m:sub>
            <m:r>
              <m:rPr/>
              <w:rPr>
                <w:rFonts w:hint="default" w:ascii="Cambria Math" w:hAnsi="Cambria Math" w:cs="Cambria Math"/>
                <w:sz w:val="22"/>
                <w:szCs w:val="22"/>
                <w:lang w:val="en-US" w:eastAsia="zh-CN"/>
              </w:rPr>
              <m:t>1</m:t>
            </m:r>
            <m:ctrlPr>
              <m:rPr/>
              <w:rPr>
                <w:rFonts w:hint="default" w:ascii="Cambria Math" w:hAnsi="Cambria Math" w:cs="Cambria Math"/>
                <w:i/>
                <w:sz w:val="22"/>
                <w:szCs w:val="22"/>
                <w:lang w:val="en-US" w:eastAsia="zh-CN"/>
              </w:rPr>
            </m:ctrlPr>
          </m:sub>
        </m:sSub>
        <m:r>
          <m:rPr/>
          <w:rPr>
            <w:rFonts w:hint="default" w:ascii="Cambria Math" w:hAnsi="Cambria Math" w:cs="Cambria Math"/>
            <w:sz w:val="22"/>
            <w:szCs w:val="22"/>
            <w:lang w:val="en-US" w:eastAsia="zh-CN"/>
          </w:rPr>
          <m:t>(n=1,2,3,...)</m:t>
        </m:r>
      </m:oMath>
    </w:p>
    <w:p w14:paraId="1985BB63">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Cambria Math"/>
          <w:i w:val="0"/>
          <w:sz w:val="22"/>
          <w:szCs w:val="22"/>
          <w:lang w:val="en-US" w:eastAsia="zh-CN"/>
        </w:rPr>
        <w:t>这就构成了自然泛音列，是其具有和谐音程的原因。钢琴的</w:t>
      </w:r>
      <w:r>
        <m:rPr/>
        <w:rPr>
          <w:rFonts w:hint="eastAsia" w:hAnsi="Cambria Math" w:cstheme="minorBidi"/>
          <w:i w:val="0"/>
          <w:kern w:val="2"/>
          <w:sz w:val="22"/>
          <w:szCs w:val="22"/>
          <w:lang w:val="en-US" w:eastAsia="zh-CN" w:bidi="ar-SA"/>
        </w:rPr>
        <w:t>每根弦对应一个特定音高，且琴弦的张力极高，单根弦可达70-100公斤，以确保振动频率的稳定性。钢琴采用十二平均律调音，除八度外的其他音程与自然泛音列存在偏差，为了解决其矛盾性，以云杉木制成的共鸣板可以抑制不和谐的频率，通过设计可以增强与基频和谐的第2、3、4泛音而抑制不和谐的第7、11泛音。通过这种精密的调控可以使钢琴具有固定音高和令人愉悦的和声效果。</w:t>
      </w:r>
    </w:p>
    <w:p w14:paraId="7CAC02D4">
      <w:pPr>
        <w:numPr>
          <w:ilvl w:val="0"/>
          <w:numId w:val="0"/>
        </w:numPr>
        <w:spacing w:line="240" w:lineRule="auto"/>
        <m:rPr/>
        <w:rPr>
          <w:rFonts w:hint="eastAsia" w:hAnsi="Cambria Math" w:cstheme="minorBidi"/>
          <w:i w:val="0"/>
          <w:kern w:val="2"/>
          <w:sz w:val="22"/>
          <w:szCs w:val="22"/>
          <w:lang w:val="en-US" w:eastAsia="zh-CN" w:bidi="ar-SA"/>
        </w:rPr>
      </w:pPr>
    </w:p>
    <w:p w14:paraId="135AA82C">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 xml:space="preserve">  对于长笛、号这类吹奏乐器，其产生固定音高的本质原因在于空气柱振动和声学共振的耦合。根据波动理论，管乐器的空气柱振动遵循公式：</w:t>
      </w:r>
    </w:p>
    <w:p w14:paraId="715AD4DB">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对于小号这类闭管乐器：</w:t>
      </w:r>
    </w:p>
    <w:p w14:paraId="241495A3">
      <w:pPr>
        <w:numPr>
          <w:ilvl w:val="0"/>
          <w:numId w:val="0"/>
        </w:numPr>
        <w:spacing w:line="240" w:lineRule="auto"/>
        <m:rPr/>
        <w:rPr>
          <w:rFonts w:hint="default"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 xml:space="preserve">                     </w:t>
      </w:r>
      <w:r>
        <m:rPr/>
        <w:rPr>
          <w:rFonts w:hint="eastAsia" w:hAnsi="Cambria Math" w:cstheme="minorBidi"/>
          <w:i w:val="0"/>
          <w:kern w:val="2"/>
          <w:sz w:val="22"/>
          <w:szCs w:val="22"/>
          <w:lang w:val="en-US" w:eastAsia="zh-CN" w:bidi="ar-SA"/>
        </w:rPr>
        <w:t xml:space="preserve"> </w:t>
      </w:r>
      <w:r>
        <m:rPr/>
        <w:rPr>
          <w:rFonts w:hint="eastAsia" w:hAnsi="Cambria Math" w:cstheme="minorBidi"/>
          <w:i w:val="0"/>
          <w:kern w:val="2"/>
          <w:sz w:val="22"/>
          <w:szCs w:val="22"/>
          <w:lang w:val="en-US" w:eastAsia="zh-CN" w:bidi="ar-SA"/>
        </w:rPr>
        <w:t xml:space="preserve"> </w:t>
      </w:r>
      <w:r>
        <m:rPr/>
        <w:rPr>
          <w:rFonts w:hint="eastAsia" w:hAnsi="Cambria Math" w:cstheme="minorBidi"/>
          <w:i w:val="0"/>
          <w:kern w:val="2"/>
          <w:sz w:val="22"/>
          <w:szCs w:val="22"/>
          <w:lang w:val="en-US" w:eastAsia="zh-CN" w:bidi="ar-SA"/>
        </w:rPr>
        <w:t xml:space="preserve"> </w:t>
      </w:r>
      <m:oMath>
        <m:r>
          <m:rPr>
            <m:sty m:val="p"/>
          </m:rPr>
          <w:rPr>
            <w:rFonts w:hint="default" w:ascii="Cambria Math" w:hAnsi="Cambria Math" w:cstheme="minorBidi"/>
            <w:kern w:val="2"/>
            <w:sz w:val="22"/>
            <w:szCs w:val="22"/>
            <w:lang w:val="en-US" w:eastAsia="zh-CN" w:bidi="ar-SA"/>
          </w:rPr>
          <m:t>f=</m:t>
        </m:r>
        <m:f>
          <m:fPr>
            <m:ctrlPr>
              <m:rPr/>
              <w:rPr>
                <w:rFonts w:hint="default" w:ascii="Cambria Math" w:hAnsi="Cambria Math" w:cstheme="minorBidi"/>
                <w:i w:val="0"/>
                <w:kern w:val="2"/>
                <w:sz w:val="22"/>
                <w:szCs w:val="22"/>
                <w:lang w:val="en-US" w:eastAsia="zh-CN" w:bidi="ar-SA"/>
              </w:rPr>
            </m:ctrlPr>
          </m:fPr>
          <m:num>
            <m:r>
              <m:rPr>
                <m:sty m:val="p"/>
              </m:rPr>
              <w:rPr>
                <w:rFonts w:hint="default" w:ascii="Cambria Math" w:hAnsi="Cambria Math" w:cstheme="minorBidi"/>
                <w:kern w:val="2"/>
                <w:sz w:val="22"/>
                <w:szCs w:val="22"/>
                <w:lang w:val="en-US" w:eastAsia="zh-CN" w:bidi="ar-SA"/>
              </w:rPr>
              <m:t>nv</m:t>
            </m:r>
            <m:ctrlPr>
              <m:rPr/>
              <w:rPr>
                <w:rFonts w:hint="default" w:ascii="Cambria Math" w:hAnsi="Cambria Math" w:cstheme="minorBidi"/>
                <w:i w:val="0"/>
                <w:kern w:val="2"/>
                <w:sz w:val="22"/>
                <w:szCs w:val="22"/>
                <w:lang w:val="en-US" w:eastAsia="zh-CN" w:bidi="ar-SA"/>
              </w:rPr>
            </m:ctrlPr>
          </m:num>
          <m:den>
            <m:r>
              <m:rPr>
                <m:sty m:val="p"/>
              </m:rPr>
              <w:rPr>
                <w:rFonts w:hint="default" w:ascii="Cambria Math" w:hAnsi="Cambria Math" w:cstheme="minorBidi"/>
                <w:kern w:val="2"/>
                <w:sz w:val="22"/>
                <w:szCs w:val="22"/>
                <w:lang w:val="en-US" w:eastAsia="zh-CN" w:bidi="ar-SA"/>
              </w:rPr>
              <m:t>4L</m:t>
            </m:r>
            <m:ctrlPr>
              <m:rPr/>
              <w:rPr>
                <w:rFonts w:hint="default" w:ascii="Cambria Math" w:hAnsi="Cambria Math" w:cstheme="minorBidi"/>
                <w:i w:val="0"/>
                <w:kern w:val="2"/>
                <w:sz w:val="22"/>
                <w:szCs w:val="22"/>
                <w:lang w:val="en-US" w:eastAsia="zh-CN" w:bidi="ar-SA"/>
              </w:rPr>
            </m:ctrlPr>
          </m:den>
        </m:f>
        <m:r>
          <m:rPr>
            <m:sty m:val="p"/>
          </m:rPr>
          <w:rPr>
            <w:rFonts w:hint="default" w:ascii="Cambria Math" w:hAnsi="Cambria Math" w:cstheme="minorBidi"/>
            <w:kern w:val="2"/>
            <w:sz w:val="22"/>
            <w:szCs w:val="22"/>
            <w:lang w:val="en-US" w:eastAsia="zh-CN" w:bidi="ar-SA"/>
          </w:rPr>
          <m:t>(n</m:t>
        </m:r>
        <m:r>
          <m:rPr>
            <m:sty m:val="p"/>
          </m:rPr>
          <w:rPr>
            <w:rFonts w:hint="eastAsia" w:ascii="Cambria Math" w:hAnsi="Cambria Math" w:cstheme="minorBidi"/>
            <w:kern w:val="2"/>
            <w:sz w:val="22"/>
            <w:szCs w:val="22"/>
            <w:lang w:val="en-US" w:eastAsia="zh-CN" w:bidi="ar-SA"/>
          </w:rPr>
          <m:t>为奇数</m:t>
        </m:r>
        <m:r>
          <m:rPr>
            <m:sty m:val="p"/>
          </m:rPr>
          <w:rPr>
            <w:rFonts w:hint="default" w:ascii="Cambria Math" w:hAnsi="Cambria Math" w:cstheme="minorBidi"/>
            <w:kern w:val="2"/>
            <w:sz w:val="22"/>
            <w:szCs w:val="22"/>
            <w:lang w:val="en-US" w:eastAsia="zh-CN" w:bidi="ar-SA"/>
          </w:rPr>
          <m:t>)</m:t>
        </m:r>
      </m:oMath>
    </w:p>
    <w:p w14:paraId="7712613D">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对于长笛这类开管乐器：</w:t>
      </w:r>
    </w:p>
    <w:p w14:paraId="5A4012A0">
      <w:pPr>
        <w:numPr>
          <w:ilvl w:val="0"/>
          <w:numId w:val="0"/>
        </w:numPr>
        <w:spacing w:line="240" w:lineRule="auto"/>
        <m:rPr/>
        <w:rPr>
          <w:rFonts w:hint="default"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 xml:space="preserve">                       </w:t>
      </w:r>
      <w:r>
        <m:rPr/>
        <w:rPr>
          <w:rFonts w:hint="eastAsia" w:hAnsi="Cambria Math" w:cstheme="minorBidi"/>
          <w:i w:val="0"/>
          <w:kern w:val="2"/>
          <w:sz w:val="22"/>
          <w:szCs w:val="22"/>
          <w:lang w:val="en-US" w:eastAsia="zh-CN" w:bidi="ar-SA"/>
        </w:rPr>
        <w:t xml:space="preserve"> </w:t>
      </w:r>
      <m:oMath>
        <m:r>
          <m:rPr>
            <m:sty m:val="p"/>
          </m:rPr>
          <w:rPr>
            <w:rFonts w:hint="default" w:ascii="Cambria Math" w:hAnsi="Cambria Math" w:cstheme="minorBidi"/>
            <w:kern w:val="2"/>
            <w:sz w:val="22"/>
            <w:szCs w:val="22"/>
            <w:lang w:val="en-US" w:eastAsia="zh-CN" w:bidi="ar-SA"/>
          </w:rPr>
          <m:t>f=</m:t>
        </m:r>
        <m:f>
          <m:fPr>
            <m:ctrlPr>
              <m:rPr/>
              <w:rPr>
                <w:rFonts w:hint="default" w:ascii="Cambria Math" w:hAnsi="Cambria Math" w:cstheme="minorBidi"/>
                <w:i w:val="0"/>
                <w:kern w:val="2"/>
                <w:sz w:val="22"/>
                <w:szCs w:val="22"/>
                <w:lang w:val="en-US" w:eastAsia="zh-CN" w:bidi="ar-SA"/>
              </w:rPr>
            </m:ctrlPr>
          </m:fPr>
          <m:num>
            <m:r>
              <m:rPr>
                <m:sty m:val="p"/>
              </m:rPr>
              <w:rPr>
                <w:rFonts w:hint="default" w:ascii="Cambria Math" w:hAnsi="Cambria Math" w:cstheme="minorBidi"/>
                <w:kern w:val="2"/>
                <w:sz w:val="22"/>
                <w:szCs w:val="22"/>
                <w:lang w:val="en-US" w:eastAsia="zh-CN" w:bidi="ar-SA"/>
              </w:rPr>
              <m:t>nv</m:t>
            </m:r>
            <m:ctrlPr>
              <m:rPr/>
              <w:rPr>
                <w:rFonts w:hint="default" w:ascii="Cambria Math" w:hAnsi="Cambria Math" w:cstheme="minorBidi"/>
                <w:i w:val="0"/>
                <w:kern w:val="2"/>
                <w:sz w:val="22"/>
                <w:szCs w:val="22"/>
                <w:lang w:val="en-US" w:eastAsia="zh-CN" w:bidi="ar-SA"/>
              </w:rPr>
            </m:ctrlPr>
          </m:num>
          <m:den>
            <m:r>
              <m:rPr>
                <m:sty m:val="p"/>
              </m:rPr>
              <w:rPr>
                <w:rFonts w:hint="default" w:ascii="Cambria Math" w:hAnsi="Cambria Math" w:cstheme="minorBidi"/>
                <w:kern w:val="2"/>
                <w:sz w:val="22"/>
                <w:szCs w:val="22"/>
                <w:lang w:val="en-US" w:eastAsia="zh-CN" w:bidi="ar-SA"/>
              </w:rPr>
              <m:t>2L</m:t>
            </m:r>
            <m:ctrlPr>
              <m:rPr/>
              <w:rPr>
                <w:rFonts w:hint="default" w:ascii="Cambria Math" w:hAnsi="Cambria Math" w:cstheme="minorBidi"/>
                <w:i w:val="0"/>
                <w:kern w:val="2"/>
                <w:sz w:val="22"/>
                <w:szCs w:val="22"/>
                <w:lang w:val="en-US" w:eastAsia="zh-CN" w:bidi="ar-SA"/>
              </w:rPr>
            </m:ctrlPr>
          </m:den>
        </m:f>
        <m:r>
          <m:rPr>
            <m:sty m:val="p"/>
          </m:rPr>
          <w:rPr>
            <w:rFonts w:hint="default" w:ascii="Cambria Math" w:hAnsi="Cambria Math" w:cstheme="minorBidi"/>
            <w:kern w:val="2"/>
            <w:sz w:val="22"/>
            <w:szCs w:val="22"/>
            <w:lang w:val="en-US" w:eastAsia="zh-CN" w:bidi="ar-SA"/>
          </w:rPr>
          <m:t>(n</m:t>
        </m:r>
        <m:r>
          <m:rPr>
            <m:sty m:val="p"/>
          </m:rPr>
          <w:rPr>
            <w:rFonts w:hint="eastAsia" w:ascii="Cambria Math" w:hAnsi="Cambria Math" w:cstheme="minorBidi"/>
            <w:kern w:val="2"/>
            <w:sz w:val="22"/>
            <w:szCs w:val="22"/>
            <w:lang w:val="en-US" w:eastAsia="zh-CN" w:bidi="ar-SA"/>
          </w:rPr>
          <m:t>为整数</m:t>
        </m:r>
        <m:r>
          <m:rPr>
            <m:sty m:val="p"/>
          </m:rPr>
          <w:rPr>
            <w:rFonts w:hint="default" w:ascii="Cambria Math" w:hAnsi="Cambria Math" w:cstheme="minorBidi"/>
            <w:kern w:val="2"/>
            <w:sz w:val="22"/>
            <w:szCs w:val="22"/>
            <w:lang w:val="en-US" w:eastAsia="zh-CN" w:bidi="ar-SA"/>
          </w:rPr>
          <m:t>)</m:t>
        </m:r>
      </m:oMath>
    </w:p>
    <w:p w14:paraId="1427E684">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对于长笛，通过按键来控制开孔位置，改变有效管长；在小号中则是通过活塞或滑管来延长或者缩短管道，以调节空气柱的振动长度。空气柱的振动会激发基频，并且产生基频整数倍的泛音，产生和谐音程。相比于弦乐器的琴弦横向振动，吹奏乐器依赖空气柱纵向振动。气息可以微调音高，所谓“超吹”技术就是演奏者通过嘴唇张力或气流速度、使得振动锁定于不同的谐波上，再结合乐器本身的机械结构对空气柱长度的控制，保证了乐器的稳定音高。</w:t>
      </w:r>
    </w:p>
    <w:p w14:paraId="04CF1ED4">
      <w:pPr>
        <w:numPr>
          <w:ilvl w:val="0"/>
          <w:numId w:val="0"/>
        </w:numPr>
        <w:spacing w:line="240" w:lineRule="auto"/>
        <m:rPr/>
        <w:rPr>
          <w:rFonts w:hint="eastAsia" w:hAnsi="Cambria Math" w:cstheme="minorBidi"/>
          <w:i w:val="0"/>
          <w:kern w:val="2"/>
          <w:sz w:val="22"/>
          <w:szCs w:val="22"/>
          <w:lang w:val="en-US" w:eastAsia="zh-CN" w:bidi="ar-SA"/>
        </w:rPr>
      </w:pPr>
    </w:p>
    <w:p w14:paraId="68ACCFD1">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 xml:space="preserve">  对于定音鼓来说，其振动并不是单一频率，而是多种振动模式叠加。与管弦乐能产生的整数倍频不同， 其会产生一系列非和谐倍频，而通过优化设计，定音鼓仍可以在听觉上产生“和谐”音色。定音鼓的音高取决于鼓膜张力、振动模式和鼓腔容积。鼓膜振动的一系列驻波模式的频率比是非整数倍的，但通过鼓腔内的空气压缩膨胀，可以抑制高频模式，强化低频能量分布。此外定音鼓腔内的吸音材料可以减弱不和谐泛音。演奏者击打定音鼓中心也可以强化基频。这些优化可以使得即使定音鼓产生的泛音是非严格整数倍的，但仍在听觉上是“和谐”的。</w:t>
      </w:r>
    </w:p>
    <w:p w14:paraId="3C4492E9">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3.2非固定音高乐器</w:t>
      </w:r>
    </w:p>
    <w:p w14:paraId="7D09CD25">
      <w:pPr>
        <w:numPr>
          <w:ilvl w:val="0"/>
          <w:numId w:val="0"/>
        </w:numPr>
        <w:spacing w:line="240" w:lineRule="auto"/>
        <m:rPr/>
        <w:rPr>
          <w:rFonts w:hint="eastAsia" w:hAnsi="Cambria Math" w:cstheme="minorBidi"/>
          <w:i w:val="0"/>
          <w:kern w:val="2"/>
          <w:sz w:val="22"/>
          <w:szCs w:val="22"/>
          <w:lang w:val="en-US" w:eastAsia="zh-CN" w:bidi="ar-SA"/>
        </w:rPr>
      </w:pPr>
    </w:p>
    <w:p w14:paraId="4A26CAEF">
      <w:pPr>
        <w:numPr>
          <w:ilvl w:val="0"/>
          <w:numId w:val="0"/>
        </w:numPr>
        <w:spacing w:line="240" w:lineRule="auto"/>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 xml:space="preserve">  </w:t>
      </w:r>
      <w:r>
        <w:rPr>
          <w:rFonts w:hint="eastAsia" w:hAnsi="Cambria Math" w:cstheme="minorBidi"/>
          <w:i w:val="0"/>
          <w:kern w:val="2"/>
          <w:sz w:val="22"/>
          <w:szCs w:val="22"/>
          <w:lang w:val="en-US" w:eastAsia="zh-CN" w:bidi="ar-SA"/>
        </w:rPr>
        <w:t>非固定音高乐器是指无法发出具有明确固定音高的音，或音高可在一定范围内连续变化、不具备离散固定音高的乐器。这类乐器的结构允许发声体（空气柱、琴弦、鼓膜等）的振动参数有着连续的变化，无物理隔断或固定标记。音高通常由演奏者通过技巧（肌肉控制、气息变化或手指滑动等）实时控制，而非依赖固定的按键、品丝或音孔位置。接下来就以下例子进行详细说明：</w:t>
      </w:r>
    </w:p>
    <w:p w14:paraId="3CBE0416">
      <w:pPr>
        <w:numPr>
          <w:ilvl w:val="0"/>
          <w:numId w:val="0"/>
        </w:numPr>
        <w:spacing w:line="240" w:lineRule="auto"/>
        <w:rPr>
          <w:rFonts w:hint="eastAsia" w:hAnsi="Cambria Math" w:cstheme="minorBidi"/>
          <w:i w:val="0"/>
          <w:kern w:val="2"/>
          <w:sz w:val="22"/>
          <w:szCs w:val="22"/>
          <w:lang w:val="en-US" w:eastAsia="zh-CN" w:bidi="ar-SA"/>
        </w:rPr>
      </w:pPr>
    </w:p>
    <w:p w14:paraId="4061F6B2">
      <w:pPr>
        <w:numPr>
          <w:ilvl w:val="0"/>
          <w:numId w:val="0"/>
        </w:numPr>
        <w:spacing w:line="240" w:lineRule="auto"/>
        <w:ind w:firstLine="440" w:firstLineChars="200"/>
        <w:rPr>
          <w:rFonts w:hint="eastAsia" w:hAnsi="Cambria Math" w:cstheme="minorBidi"/>
          <w:i w:val="0"/>
          <w:kern w:val="2"/>
          <w:sz w:val="22"/>
          <w:szCs w:val="22"/>
          <w:lang w:val="en-US" w:eastAsia="zh-CN" w:bidi="ar-SA"/>
        </w:rPr>
      </w:pPr>
      <w:r>
        <w:rPr>
          <w:rFonts w:hint="eastAsia" w:hAnsi="Cambria Math" w:cstheme="minorBidi"/>
          <w:i w:val="0"/>
          <w:kern w:val="2"/>
          <w:sz w:val="22"/>
          <w:szCs w:val="22"/>
          <w:lang w:val="en-US" w:eastAsia="zh-CN" w:bidi="ar-SA"/>
        </w:rPr>
        <w:t>对于一般鼓、军鼓等而言，鼓皮被敲击时，振动以圆形波向四周扩散，同时产生径向振动（从中心到边缘）和环向振动（围绕中心的圆周振动）。这种复合振动导致基频与泛音无固定整数倍关系，听觉上无法感知明确音高，仅能分辨 “高音” 或 “低音” 的模糊区间。</w:t>
      </w:r>
    </w:p>
    <w:p w14:paraId="3B6AE9C8">
      <w:pPr>
        <w:numPr>
          <w:ilvl w:val="0"/>
          <w:numId w:val="0"/>
        </w:numPr>
        <w:spacing w:line="240" w:lineRule="auto"/>
        <w:ind w:firstLine="440" w:firstLineChars="200"/>
        <w:rPr>
          <w:rFonts w:hint="eastAsia" w:hAnsi="Cambria Math" w:cstheme="minorBidi"/>
          <w:i w:val="0"/>
          <w:kern w:val="2"/>
          <w:sz w:val="22"/>
          <w:szCs w:val="22"/>
          <w:lang w:val="en-US" w:eastAsia="zh-CN" w:bidi="ar-SA"/>
        </w:rPr>
      </w:pPr>
    </w:p>
    <w:p w14:paraId="5B4530CE">
      <w:pPr>
        <w:numPr>
          <w:ilvl w:val="0"/>
          <w:numId w:val="0"/>
        </w:numPr>
        <w:spacing w:line="240" w:lineRule="auto"/>
        <w:ind w:firstLine="440" w:firstLineChars="200"/>
        <w:rPr>
          <w:rFonts w:hint="eastAsia" w:hAnsi="Cambria Math" w:cstheme="minorBidi"/>
          <w:i w:val="0"/>
          <w:kern w:val="2"/>
          <w:sz w:val="22"/>
          <w:szCs w:val="22"/>
          <w:lang w:val="en-US" w:eastAsia="zh-CN" w:bidi="ar-SA"/>
        </w:rPr>
      </w:pPr>
      <w:r>
        <w:rPr>
          <w:rFonts w:hint="eastAsia" w:hAnsi="Cambria Math" w:cstheme="minorBidi"/>
          <w:i w:val="0"/>
          <w:kern w:val="2"/>
          <w:sz w:val="22"/>
          <w:szCs w:val="22"/>
          <w:lang w:val="en-US" w:eastAsia="zh-CN" w:bidi="ar-SA"/>
        </w:rPr>
        <w:t>再以三角铁、镲为例：三角铁的发声体为一根弯曲成等边三角形的金属棒，边长通常为10～30cm，顶端留一小缺口。敲击工具为金属棒或小木槌。这种结构使得发声体金属棒无固定振动节点，敲击后整个结构自由振动。敲击三角铁时，金属棒同时产生弯曲振动（沿三角形三边的横向振动）、扭转振动（金属棒自身扭转形变，产生高频泛音）、端点反射（振动在三角形缺口处反射，形成非对称波形），进一步复杂化泛音列；镲的发声体为圆形金属薄片，边缘略薄，中心有凸起的“帽”。镲片被敲击后，振动以径向波（从敲击点向边缘扩散）和环形波（围绕中心帽的圆周振动）形式传播，同时伴随着拍频现象（不同频率的振动相互干涉，产生时强时弱的 “拍音”，进一步模糊音高感知）。</w:t>
      </w:r>
    </w:p>
    <w:p w14:paraId="4870E096">
      <w:pPr>
        <w:numPr>
          <w:ilvl w:val="0"/>
          <w:numId w:val="0"/>
        </w:numPr>
        <w:spacing w:line="240" w:lineRule="auto"/>
        <w:ind w:firstLine="440" w:firstLineChars="200"/>
        <w:rPr>
          <w:rFonts w:hint="eastAsia" w:hAnsi="Cambria Math" w:cstheme="minorBidi"/>
          <w:i w:val="0"/>
          <w:kern w:val="2"/>
          <w:sz w:val="22"/>
          <w:szCs w:val="22"/>
          <w:lang w:val="en-US" w:eastAsia="zh-CN" w:bidi="ar-SA"/>
        </w:rPr>
      </w:pPr>
    </w:p>
    <w:p w14:paraId="63C91A46">
      <w:pPr>
        <w:numPr>
          <w:ilvl w:val="0"/>
          <w:numId w:val="0"/>
        </w:numPr>
        <w:spacing w:line="240" w:lineRule="auto"/>
        <w:ind w:firstLine="440" w:firstLineChars="200"/>
        <w:rPr>
          <w:rFonts w:hint="eastAsia" w:hAnsi="Cambria Math" w:cstheme="minorBidi"/>
          <w:i w:val="0"/>
          <w:kern w:val="2"/>
          <w:sz w:val="22"/>
          <w:szCs w:val="22"/>
          <w:lang w:val="en-US" w:eastAsia="zh-CN" w:bidi="ar-SA"/>
        </w:rPr>
      </w:pPr>
      <w:r>
        <w:rPr>
          <w:rFonts w:hint="eastAsia" w:hAnsi="Cambria Math" w:cstheme="minorBidi"/>
          <w:i w:val="0"/>
          <w:kern w:val="2"/>
          <w:sz w:val="22"/>
          <w:szCs w:val="22"/>
          <w:lang w:val="en-US" w:eastAsia="zh-CN" w:bidi="ar-SA"/>
        </w:rPr>
        <w:t>从听觉上来讲，非固定音高乐器的发声体振动模式复杂，泛音频率非基频的整数倍，导致音高感知模糊，并且发声体材质性能、击打位置与角度等导致每次发声的泛音列随机变化，无法对应固定音名。非固定音高乐器的价值在于音色方面的表现力和节奏功能而并非音高。其复杂无序的泛音结构相反成为了音乐中激活节奏动力、塑造音色个性的关键元素。</w:t>
      </w:r>
    </w:p>
    <w:p w14:paraId="785DC95E">
      <w:pPr>
        <w:numPr>
          <w:ilvl w:val="0"/>
          <w:numId w:val="0"/>
        </w:numPr>
        <w:spacing w:line="240" w:lineRule="auto"/>
        <m:rPr/>
        <w:rPr>
          <w:rFonts w:hint="default" w:hAnsi="Cambria Math" w:cstheme="minorBidi"/>
          <w:i w:val="0"/>
          <w:kern w:val="2"/>
          <w:sz w:val="22"/>
          <w:szCs w:val="22"/>
          <w:lang w:val="en-US" w:eastAsia="zh-CN" w:bidi="ar-SA"/>
        </w:rPr>
      </w:pPr>
    </w:p>
    <w:p w14:paraId="451DD38C">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3.3总结</w:t>
      </w:r>
    </w:p>
    <w:p w14:paraId="273C05C3">
      <w:pPr>
        <w:numPr>
          <w:ilvl w:val="0"/>
          <w:numId w:val="0"/>
        </w:numPr>
        <w:spacing w:line="240" w:lineRule="auto"/>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 xml:space="preserve">    固定音高乐器与非固定音高乐器的本质区别在于发声体产生的泛音频率与基频是否满足整数倍关系，即乐器本身是否具有频率锁定能力。</w:t>
      </w:r>
    </w:p>
    <w:p w14:paraId="7F4DA872">
      <w:pPr>
        <w:numPr>
          <w:ilvl w:val="0"/>
          <w:numId w:val="0"/>
        </w:numPr>
        <w:spacing w:line="240" w:lineRule="auto"/>
        <w:ind w:firstLine="440" w:firstLineChars="200"/>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固定音高乐器产生音高的机制具有明确物理规律。弦乐器的琴弦的振动频率由弦长、张力与线密度决定，敲击琴弦后，其不仅以基频振动，同时还产生一系列基频整数倍的泛音，构成和谐的自然泛音列。管乐器的频率则由管长和声速决定，通过其机械设计可以通过按键、活塞来调节管长，锁定音高。</w:t>
      </w:r>
    </w:p>
    <w:p w14:paraId="05E87767">
      <w:pPr>
        <w:numPr>
          <w:ilvl w:val="0"/>
          <w:numId w:val="0"/>
        </w:numPr>
        <w:spacing w:line="240" w:lineRule="auto"/>
        <w:ind w:firstLine="440"/>
        <m:rPr/>
        <w:rPr>
          <w:rFonts w:hint="eastAsia"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相比之下，非固定音高乐器的振动模式的复杂性使得其泛音频率与基频无整数倍关系，因此我们在听觉上对其音高的感知是模糊的。</w:t>
      </w:r>
    </w:p>
    <w:p w14:paraId="137F7FCE">
      <w:pPr>
        <w:numPr>
          <w:ilvl w:val="0"/>
          <w:numId w:val="0"/>
        </w:numPr>
        <w:spacing w:line="240" w:lineRule="auto"/>
        <w:ind w:firstLine="440"/>
        <m:rPr/>
        <w:rPr>
          <w:rFonts w:hint="default" w:hAnsi="Cambria Math" w:cstheme="minorBidi"/>
          <w:i w:val="0"/>
          <w:kern w:val="2"/>
          <w:sz w:val="22"/>
          <w:szCs w:val="22"/>
          <w:lang w:val="en-US" w:eastAsia="zh-CN" w:bidi="ar-SA"/>
        </w:rPr>
      </w:pPr>
      <w:r>
        <m:rPr/>
        <w:rPr>
          <w:rFonts w:hint="eastAsia" w:hAnsi="Cambria Math" w:cstheme="minorBidi"/>
          <w:i w:val="0"/>
          <w:kern w:val="2"/>
          <w:sz w:val="22"/>
          <w:szCs w:val="22"/>
          <w:lang w:val="en-US" w:eastAsia="zh-CN" w:bidi="ar-SA"/>
        </w:rPr>
        <w:t>对于固定音高乐器，因其音高的确定性，适于演奏旋律、和声；对于非固定音高乐器，其音色的独特和节奏功能，适于增强音乐的情感表达。两者结合，共同塑造音乐的丰富性以及表达的多样性。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A04C16"/>
    <w:rsid w:val="1BAC6B7D"/>
    <w:rsid w:val="4F706BCD"/>
    <w:rsid w:val="62CE3139"/>
    <w:rsid w:val="72871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Words>
  <Characters>37</Characters>
  <Lines>0</Lines>
  <Paragraphs>0</Paragraphs>
  <TotalTime>16</TotalTime>
  <ScaleCrop>false</ScaleCrop>
  <LinksUpToDate>false</LinksUpToDate>
  <CharactersWithSpaces>37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2025-05-27T11:51:00Z</dcterms:created>
  <dc:creator>29297</dc:creator>
  <cp:lastModifiedBy>a</cp:lastModifiedBy>
  <dcterms:modified xsi:type="dcterms:W3CDTF">2025-05-29T03:45:36Z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eyJoZGlkIjoiMzEwNTM5NzYwMDRjMzkwZTVkZjY2ODkwMGIxNGU0OTUiLCJ1c2VySWQiOiI4OTAyNDM1OTMifQ==</vt:lpwstr>
  </property>
  <property fmtid="{D5CDD505-2E9C-101B-9397-08002B2CF9AE}" pid="4" name="ICV">
    <vt:lpwstr>A326B8A62DB74E67AE5799ED1B7B4526_12</vt:lpwstr>
  </property>
</Properties>
</file>