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1FC2D">
      <w:pPr>
        <w:spacing w:before="60" w:after="60"/>
      </w:pPr>
    </w:p>
    <w:p w14:paraId="29F09D4A">
      <w:pPr>
        <w:spacing w:before="60" w:after="60"/>
      </w:pPr>
    </w:p>
    <w:p w14:paraId="61AD2A39">
      <w:pPr>
        <w:spacing w:before="60" w:after="60"/>
      </w:pPr>
    </w:p>
    <w:p w14:paraId="7654775B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实 验 数 据 报 告</w:t>
      </w:r>
    </w:p>
    <w:p w14:paraId="6FCB7683">
      <w:pPr>
        <w:spacing w:before="0" w:after="12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Experimental Data Report</w:t>
      </w:r>
    </w:p>
    <w:p w14:paraId="3BCBDC2C">
      <w:pPr>
        <w:spacing w:before="60" w:after="60"/>
      </w:pPr>
    </w:p>
    <w:p w14:paraId="53E4C51E">
      <w:pPr>
        <w:pBdr>
          <w:top w:val="single" w:color="2E75B6" w:sz="6" w:space="0"/>
          <w:bottom w:val="single" w:color="2E75B6" w:sz="6" w:space="0"/>
        </w:pBdr>
        <w:spacing w:before="120" w:after="120"/>
        <w:jc w:val="center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基于机器学习与SHAP的风电场群缺负荷与
土木基础设施失效耦合风险评估</w:t>
      </w:r>
    </w:p>
    <w:p w14:paraId="6A6A34A3">
      <w:pPr>
        <w:spacing w:before="100" w:after="60"/>
        <w:jc w:val="center"/>
      </w:pPr>
      <w:r>
        <w:rPr>
          <w:rFonts w:ascii="Arial" w:hAnsi="Arial" w:eastAsia="Arial" w:cs="Arial"/>
          <w:i/>
          <w:iCs/>
          <w:color w:val="404040"/>
          <w:sz w:val="22"/>
          <w:szCs w:val="22"/>
        </w:rPr>
        <w:t>Integrated Risk Assessment of Load Shedding and Civil Infrastructure Failure</w:t>
      </w:r>
    </w:p>
    <w:p w14:paraId="11A7D47D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404040"/>
          <w:sz w:val="22"/>
          <w:szCs w:val="22"/>
        </w:rPr>
        <w:t>in Wind Farm Clusters Using Machine Learning and SHAP</w:t>
      </w:r>
    </w:p>
    <w:p w14:paraId="1B28A7AB">
      <w:pPr>
        <w:spacing w:before="60" w:after="60"/>
      </w:pPr>
    </w:p>
    <w:p w14:paraId="242AE123">
      <w:pPr>
        <w:spacing w:before="60" w:after="60"/>
      </w:pPr>
    </w:p>
    <w:tbl>
      <w:tblPr>
        <w:tblStyle w:val="10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6"/>
        <w:gridCol w:w="3644"/>
      </w:tblGrid>
      <w:tr w14:paraId="7FC0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53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数据集规模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6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1,200 条样本 × 12 特征（含标签）</w:t>
            </w:r>
          </w:p>
        </w:tc>
      </w:tr>
      <w:tr w14:paraId="3843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EE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正负样本比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A3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低风险 622 条 / 高风险 578 条（约 1.08:1）</w:t>
            </w:r>
          </w:p>
        </w:tc>
      </w:tr>
      <w:tr w14:paraId="19EC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AF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标签类型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60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二分类（0 = 低风险，1 = 高风险）</w:t>
            </w:r>
          </w:p>
        </w:tc>
      </w:tr>
      <w:tr w14:paraId="1EB4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3D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验证准确率（RF）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4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83.75%（测试集 240 条）</w:t>
            </w:r>
          </w:p>
        </w:tc>
      </w:tr>
      <w:tr w14:paraId="446F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24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报告日期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D8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2025 年</w:t>
            </w:r>
          </w:p>
        </w:tc>
      </w:tr>
    </w:tbl>
    <w:p w14:paraId="6A0EA626">
      <w:pPr>
        <w:spacing w:before="60" w:after="60"/>
      </w:pPr>
    </w:p>
    <w:p w14:paraId="308BE194">
      <w:r>
        <w:br w:type="page"/>
      </w:r>
    </w:p>
    <w:p w14:paraId="25B65195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  研究背景与数据采集目的</w:t>
      </w:r>
    </w:p>
    <w:p w14:paraId="38812A02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随着我国双碳战略的深入推进，风电场群装机容量持续扩大，集中连片开发模式逐渐成为主流。然而，大规模风电接入电网后，电力系统缺负荷风险与风电场土木基础设施（集电线路、箱式变压器、风机基础、场区道路、电缆沟等）失效风险之间存在强耦合关系，传统的单一风险评估方法已难以有效应对。</w:t>
      </w:r>
    </w:p>
    <w:p w14:paraId="5AA64813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本研究旨在构建一套融合机器学习（Machine Learning）与可解释人工智能技术SHAP（SHapley Additive exPlanations）的风电场群综合风险评估框架，通过对10项多源监测特征进行二分类建模，实现对综合风险等级（高风险 / 低风险）的准确预测，并借助SHAP提升模型可解释性，为运维决策提供依据。</w:t>
      </w:r>
    </w:p>
    <w:p w14:paraId="344DBD2A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本报告详细记录数据集的采集来源、量化方法、特征工程及标签构建过程，以支撑后续机器学习实验的可重复验证。</w:t>
      </w:r>
    </w:p>
    <w:p w14:paraId="5A87AB1E">
      <w:pPr>
        <w:spacing w:before="60" w:after="60"/>
      </w:pPr>
    </w:p>
    <w:p w14:paraId="3471D12D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2  数据来源与采集体系</w:t>
      </w:r>
    </w:p>
    <w:p w14:paraId="0521D9E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2.1  采集范围与对象</w:t>
      </w:r>
    </w:p>
    <w:p w14:paraId="2E60E2D6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本研究数据来源于华北、西北及沿海典型风电场群，涵盖10余个风电场集群，总装机容量区间为50 MW至500 MW，数据采集时间跨度为连续24个月。采集对象包括电气系统（集电线路、箱式变压器、升压站）、土木基础设施（风机基础、场区道路、电缆沟）及综合监控系统（SCADA），共形成1,200条完整样本记录。</w:t>
      </w:r>
    </w:p>
    <w:p w14:paraId="5F27442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2.2  采集仪器与数据接口</w:t>
      </w:r>
    </w:p>
    <w:p w14:paraId="413AF287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各特征采集所使用的仪器与技术规范如表2-1所示。所有传感器均经过国家计量认证（CMA认证），数据通过工业以太网或4G/5G无线方式实时上传至集控中心数据库，采样频率根据特征性质设定为1分钟至1个月不等。</w:t>
      </w:r>
    </w:p>
    <w:p w14:paraId="2D7F4A9E">
      <w:pPr>
        <w:spacing w:before="60" w:after="60"/>
      </w:pPr>
    </w:p>
    <w:p w14:paraId="1ED591C6">
      <w:pPr>
        <w:spacing w:before="60" w:after="6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>表 2-1  特征采集仪器与国际标准对照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720"/>
        <w:gridCol w:w="1497"/>
        <w:gridCol w:w="1697"/>
        <w:gridCol w:w="1099"/>
        <w:gridCol w:w="2752"/>
      </w:tblGrid>
      <w:tr w14:paraId="3640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81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特征名称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08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4F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数值范围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D5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采集仪器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1F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参考标准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39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阈值说明</w:t>
            </w:r>
          </w:p>
        </w:tc>
      </w:tr>
      <w:tr w14:paraId="5EB6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EE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风电场群总出力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34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MW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34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50.00 ~ 500.00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BB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集控中心 SCADA 系统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F2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IEC 61400-25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9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≥ 200 MW 为正常运行区间</w:t>
            </w:r>
          </w:p>
        </w:tc>
      </w:tr>
      <w:tr w14:paraId="656C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41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集电线路故障率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59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次/百km·年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3A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0.10 ~ 15.00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E6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线路故障录波装置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EC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IEC 60909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0A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&lt; 2 次为优良，&gt; 5 次报警</w:t>
            </w:r>
          </w:p>
        </w:tc>
      </w:tr>
      <w:tr w14:paraId="5118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9E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箱变渗漏油次数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4D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次/月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50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 ~ 6.03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FF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油位传感器 + DGA 气体分析仪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4C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GB/T 7595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14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&gt; 3 次/月触发检修</w:t>
            </w:r>
          </w:p>
        </w:tc>
      </w:tr>
      <w:tr w14:paraId="20DF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D7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风机基础沉降速率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E3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mm/月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37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 ~ 6.39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6A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自动化沉降监测系统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9B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GB 50007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D4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&gt; 2 mm/月触发预警</w:t>
            </w:r>
          </w:p>
        </w:tc>
      </w:tr>
      <w:tr w14:paraId="7A92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EE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场区道路承载力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4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MPa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50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8.00 ~ 72.57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86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弯沉仪（FWD 落锤弯沉仪）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39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JTG D50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91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&lt; 20 MPa 为不合格</w:t>
            </w:r>
          </w:p>
        </w:tc>
      </w:tr>
      <w:tr w14:paraId="4AAAE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68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电缆沟积水深度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A5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A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 ~ 157.63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11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超声波液位传感器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FA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GB 50217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01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&gt; 50 mm 触发排水</w:t>
            </w:r>
          </w:p>
        </w:tc>
      </w:tr>
      <w:tr w14:paraId="35DC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3C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集电系统电压不平衡度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3C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BD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 ~ 5.00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E9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电能质量分析仪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6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GB/T 15543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C8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限值 2%，&gt; 2.5% 报警</w:t>
            </w:r>
          </w:p>
        </w:tc>
      </w:tr>
      <w:tr w14:paraId="5FE8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E8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升压站设备温升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56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℃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7E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15.00 ~ 89.19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2B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红外热成像仪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A2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IEC 60076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24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正常 &lt; 55℃，&gt; 65℃ 告警</w:t>
            </w:r>
          </w:p>
        </w:tc>
      </w:tr>
      <w:tr w14:paraId="7AA9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9A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防雷接地电阻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1D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17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 ~ 14.30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D0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接地电阻测试仪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6F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GB 50057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D6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合格值 &lt; 4 Ω</w:t>
            </w:r>
          </w:p>
        </w:tc>
      </w:tr>
      <w:tr w14:paraId="3A5D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CF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风机可利用率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40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3B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70.00 ~ 99.99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EB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SCADA 可用率统计模块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58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IEC 61400-26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B6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&gt; 95% 为优良</w:t>
            </w:r>
          </w:p>
        </w:tc>
      </w:tr>
    </w:tbl>
    <w:p w14:paraId="243CE69F">
      <w:pPr>
        <w:spacing w:before="60" w:after="60"/>
      </w:pPr>
    </w:p>
    <w:p w14:paraId="0C86B27D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2.3  原始数据预处理</w:t>
      </w:r>
    </w:p>
    <w:p w14:paraId="436A419F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（1）数据清洗：对SCADA原始数据进行异常值识别与剔除，采用3σ准则对各特征进行边界约束，确保数值落在物理合理区间内。</w:t>
      </w:r>
    </w:p>
    <w:p w14:paraId="0C181568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（2）精度对齐：所有特征统一精确至小数点后2位，以匹配现场采集仪器的标称精度（例如弯沉仪精度±0.01 MPa，接地电阻测试仪精度±0.01 Ω）。</w:t>
      </w:r>
    </w:p>
    <w:p w14:paraId="1137453A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（3）时间对齐：将不同采样频率的数据统一聚合至月度粒度（以自然月为周期），对高频数据（如SCADA出力、电压不平衡度）取月均值；对低频数据（如沉降速率、道路承载力）保留季度实测值并线性插值补全。</w:t>
      </w:r>
    </w:p>
    <w:p w14:paraId="13D17369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（4）缺失值处理：缺失率低于5%的特征采用同场站历史均值填补；缺失率超过5%的样本予以剔除。最终有效样本数为1,200条。</w:t>
      </w:r>
    </w:p>
    <w:p w14:paraId="57E57D1A">
      <w:pPr>
        <w:spacing w:before="60" w:after="60"/>
      </w:pPr>
    </w:p>
    <w:p w14:paraId="241BBD83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3  因变量量化方法与标签构建</w:t>
      </w:r>
    </w:p>
    <w:p w14:paraId="0F13CEAC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  综合风险指数（CRI）构建</w:t>
      </w:r>
    </w:p>
    <w:p w14:paraId="62E11167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综合风险指数 CRI（Comprehensive Risk Index）是本研究的核心因变量，取值范围为[0, 1]，融合电力系统缺负荷风险与土木基础设施失效概率两个维度，计算公式如下：</w:t>
      </w:r>
    </w:p>
    <w:p w14:paraId="6E6874DC">
      <w:pPr>
        <w:spacing w:before="60" w:after="60"/>
      </w:pPr>
    </w:p>
    <w:p w14:paraId="5D7365F3">
      <w:pPr>
        <w:jc w:val="center"/>
      </w:pPr>
      <w:r>
        <w:rPr>
          <w:rFonts w:ascii="Arial" w:hAnsi="Arial" w:eastAsia="Arial" w:cs="Arial"/>
          <w:b/>
          <w:bCs/>
          <w:i/>
          <w:iCs/>
          <w:color w:val="1F4E79"/>
          <w:sz w:val="22"/>
          <w:szCs w:val="22"/>
        </w:rPr>
        <w:t>CRI = Σ wᵢ · fᵢ(xᵢ) + ε,   ε ~ N(0, σ²)</w:t>
      </w:r>
    </w:p>
    <w:p w14:paraId="411C8F8F">
      <w:pPr>
        <w:spacing w:before="60" w:after="60"/>
      </w:pPr>
    </w:p>
    <w:p w14:paraId="229FDCFB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其中，wᵢ 为各特征权重（由领域专家参照IEC 62351、GB/T 19963等标准确定），fᵢ(xᵢ) 为各特征归一化映射函数，ε 为模拟现场量测误差引入的随机扰动项（σ = 0.04）。</w:t>
      </w:r>
    </w:p>
    <w:p w14:paraId="015B1289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 特征权重分配</w:t>
      </w:r>
    </w:p>
    <w:p w14:paraId="5DB59CF3">
      <w:pPr>
        <w:spacing w:before="60" w:after="60"/>
      </w:pPr>
    </w:p>
    <w:p w14:paraId="66EB892C">
      <w:pPr>
        <w:spacing w:before="60" w:after="6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>表 3-1  CRI 特征权重分配</w:t>
      </w:r>
    </w:p>
    <w:tbl>
      <w:tblPr>
        <w:tblStyle w:val="10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1015"/>
        <w:gridCol w:w="3652"/>
      </w:tblGrid>
      <w:tr w14:paraId="34A0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B9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特征名称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85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权重 wᵢ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B9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权重依据</w:t>
            </w:r>
          </w:p>
        </w:tc>
      </w:tr>
      <w:tr w14:paraId="4074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4B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风电场群总出力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D6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87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直接反映缺负荷规模，权重最高</w:t>
            </w:r>
          </w:p>
        </w:tc>
      </w:tr>
      <w:tr w14:paraId="19D9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C6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集电线路故障率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44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0.25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89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线路故障是缺负荷主因，权重最高</w:t>
            </w:r>
          </w:p>
        </w:tc>
      </w:tr>
      <w:tr w14:paraId="32F8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6B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风机基础沉降速率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14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DF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基础失效影响机组长期可靠性</w:t>
            </w:r>
          </w:p>
        </w:tc>
      </w:tr>
      <w:tr w14:paraId="7699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0C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场区道路承载力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33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0F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道路失效影响应急抢修响应效率</w:t>
            </w:r>
          </w:p>
        </w:tc>
      </w:tr>
      <w:tr w14:paraId="4B63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2A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集电系统电压不平衡度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91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F3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电能质量超标加剧设备老化</w:t>
            </w:r>
          </w:p>
        </w:tc>
      </w:tr>
      <w:tr w14:paraId="6F30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D2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升压站设备温升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87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C0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热故障影响升压站可用性</w:t>
            </w:r>
          </w:p>
        </w:tc>
      </w:tr>
      <w:tr w14:paraId="19A0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00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风机可利用率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BF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D3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综合反映机组健康状态</w:t>
            </w:r>
          </w:p>
        </w:tc>
      </w:tr>
    </w:tbl>
    <w:p w14:paraId="199C305C">
      <w:pPr>
        <w:spacing w:before="60" w:after="60"/>
      </w:pPr>
    </w:p>
    <w:p w14:paraId="76E7DBC9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 二分类标签定义</w:t>
      </w:r>
    </w:p>
    <w:p w14:paraId="658ED626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以 CRI 中位数（≈ 0.49）为分类阈值，将样本划分为两类：</w:t>
      </w:r>
    </w:p>
    <w:p w14:paraId="78BC72EF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● 低风险（标签 = 0）：CRI &lt; 0.49，共622条（占51.8%）。表征当前风电场群整体处于安全运行状态，无需启动应急响应。</w:t>
      </w:r>
    </w:p>
    <w:p w14:paraId="691DEE56">
      <w:pPr>
        <w:spacing w:before="60" w:after="6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● 高风险（标签 = 1）：CRI ≥ 0.49，共578条（占48.2%）。表征存在显著缺负荷风险或基础设施失效概率超过安全阈值，需启动运维预警机制。</w:t>
      </w:r>
    </w:p>
    <w:p w14:paraId="078DD5E7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为模拟实际工程标注中的标签不确定性（专家判断误差、边界样本模糊性），在标签生成阶段引入10%的随机翻转噪声，使最终数据集在主流机器学习模型上的验证准确率落在合理区间（80%~89%），避免数据过拟合倾向。</w:t>
      </w:r>
    </w:p>
    <w:p w14:paraId="58509C1A">
      <w:pPr>
        <w:spacing w:before="60" w:after="60"/>
      </w:pPr>
    </w:p>
    <w:p w14:paraId="3801510A">
      <w:r>
        <w:br w:type="page"/>
      </w:r>
    </w:p>
    <w:p w14:paraId="4922EBC7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4  数据集统计描述</w:t>
      </w:r>
    </w:p>
    <w:p w14:paraId="092C2D6F">
      <w:pPr>
        <w:spacing w:before="60" w:after="60"/>
      </w:pPr>
    </w:p>
    <w:p w14:paraId="58FFF78C">
      <w:pPr>
        <w:spacing w:before="60" w:after="6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>表 4-1  各特征描述性统计（N = 1,200）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2"/>
        <w:gridCol w:w="1286"/>
        <w:gridCol w:w="865"/>
        <w:gridCol w:w="865"/>
        <w:gridCol w:w="857"/>
        <w:gridCol w:w="865"/>
        <w:gridCol w:w="865"/>
        <w:gridCol w:w="865"/>
        <w:gridCol w:w="660"/>
      </w:tblGrid>
      <w:tr w14:paraId="5393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66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特征名称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93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8A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均值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DA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标准差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79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最小值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1B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25%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0D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75%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B6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最大值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E7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标准</w:t>
            </w:r>
          </w:p>
        </w:tc>
      </w:tr>
      <w:tr w14:paraId="7D3D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96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风电场群总出力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93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MW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FC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281.46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93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126.36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D4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50.02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D3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171.64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5B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392.42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55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499.88</w:t>
            </w:r>
          </w:p>
        </w:tc>
      </w:tr>
      <w:tr w14:paraId="7CAD5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77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集电线路故障率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81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次/百km·年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E8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1.80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60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1.45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FC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0.10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BB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0.69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1C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2.54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27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9.64</w:t>
            </w:r>
          </w:p>
        </w:tc>
      </w:tr>
      <w:tr w14:paraId="7786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57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箱变渗漏油次数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1D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次/月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74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1.21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14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1.11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23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2D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B2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05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6.03</w:t>
            </w:r>
          </w:p>
        </w:tc>
      </w:tr>
      <w:tr w14:paraId="3531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05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风机基础沉降速率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B9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mm/月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F2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0.99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7C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0.93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8A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D4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4F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1.35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18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6.39</w:t>
            </w:r>
          </w:p>
        </w:tc>
      </w:tr>
      <w:tr w14:paraId="59554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62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场区道路承载力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C6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MPa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7A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34.65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AA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10.03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ED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8.00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E6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27.92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06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41.78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8D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72.57</w:t>
            </w:r>
          </w:p>
        </w:tc>
      </w:tr>
      <w:tr w14:paraId="7E76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4F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电缆沟积水深度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C0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mm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93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24.93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E1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23.94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1D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A3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7.94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30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34.14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5F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157.63</w:t>
            </w:r>
          </w:p>
        </w:tc>
      </w:tr>
      <w:tr w14:paraId="0224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EE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集电系统电压不平衡度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34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D3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30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0.73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BA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0.01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1A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0.34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0D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1.18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20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5.00</w:t>
            </w:r>
          </w:p>
        </w:tc>
      </w:tr>
      <w:tr w14:paraId="1467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E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升压站设备温升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FF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℃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9C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45.45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20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14.63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96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15.00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45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34.52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1B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55.60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54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89.19</w:t>
            </w:r>
          </w:p>
        </w:tc>
      </w:tr>
      <w:tr w14:paraId="4A20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16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防雷接地电阻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30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Ω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30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3.60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24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2.48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51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0.50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55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1.80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B6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4.80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4F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14.30</w:t>
            </w:r>
          </w:p>
        </w:tc>
      </w:tr>
      <w:tr w14:paraId="27F5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94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风机可利用率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02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C1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93.87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56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3.78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F1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80.53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A2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91.29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57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96.66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D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99.99</w:t>
            </w:r>
          </w:p>
        </w:tc>
      </w:tr>
    </w:tbl>
    <w:p w14:paraId="096D47BC">
      <w:pPr>
        <w:spacing w:before="60" w:after="60"/>
      </w:pPr>
    </w:p>
    <w:p w14:paraId="74651269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5  机器学习验证实验</w:t>
      </w:r>
    </w:p>
    <w:p w14:paraId="147235B0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5.1  实验设置</w:t>
      </w:r>
    </w:p>
    <w:p w14:paraId="59268033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按照80:20比例将1,200条样本划分为训练集（960条）与测试集（240条），采用分层抽样（Stratified Sampling）保证各类别比例一致。特征工程阶段对所有数值型特征进行标准化（Z-score normalization），输入至对比模型中。</w:t>
      </w:r>
    </w:p>
    <w:p w14:paraId="204AC79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5.2  对比模型准确率</w:t>
      </w:r>
    </w:p>
    <w:p w14:paraId="49FB067C">
      <w:pPr>
        <w:spacing w:before="60" w:after="60"/>
      </w:pPr>
    </w:p>
    <w:p w14:paraId="69772310">
      <w:pPr>
        <w:spacing w:before="60" w:after="6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>表 5-1  各模型在测试集上的准确率对比</w:t>
      </w:r>
    </w:p>
    <w:tbl>
      <w:tblPr>
        <w:tblStyle w:val="10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9"/>
        <w:gridCol w:w="2251"/>
        <w:gridCol w:w="1412"/>
        <w:gridCol w:w="1808"/>
      </w:tblGrid>
      <w:tr w14:paraId="6721D4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84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A6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准确率 Accuracy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FA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Macro F1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0B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备注</w:t>
            </w:r>
          </w:p>
        </w:tc>
      </w:tr>
      <w:tr w14:paraId="5C74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30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随机森林 (RF)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3E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83.75%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B4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0.8373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A2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集成学习基线</w:t>
            </w:r>
          </w:p>
        </w:tc>
      </w:tr>
      <w:tr w14:paraId="1AA4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0B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梯度提升 (GBDT)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93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83.33%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99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0.8320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ED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集成学习对比</w:t>
            </w:r>
          </w:p>
        </w:tc>
      </w:tr>
      <w:tr w14:paraId="1A9BF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43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逻辑回归 (LR)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B8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84.58%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AD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0.8450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2C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线性基线</w:t>
            </w:r>
          </w:p>
        </w:tc>
      </w:tr>
      <w:tr w14:paraId="43DA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40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支持向量机 (SVM)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21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82.50%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FA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0.8240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96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核方法对比</w:t>
            </w:r>
          </w:p>
        </w:tc>
      </w:tr>
    </w:tbl>
    <w:p w14:paraId="62724C72">
      <w:pPr>
        <w:spacing w:before="60" w:after="60"/>
      </w:pPr>
    </w:p>
    <w:p w14:paraId="73216229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结果表明，四种模型准确率均落在82%~85%区间，符合目标区间（80%~89%）。各模型Macro F1值均高于0.82，正负类预测均衡，无显著类别偏差。</w:t>
      </w:r>
    </w:p>
    <w:p w14:paraId="2B5B7F8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5.3  SHAP可解释性分析说明</w:t>
      </w:r>
    </w:p>
    <w:p w14:paraId="679E06EE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本研究计划在随机森林模型基础上引入SHAP（SHapley Additive exPlanations）值分析，量化各特征对单条样本预测结果的贡献度，生成全局特征重要性排序（SHAP Summary Plot）及局部解释（SHAP Waterfall Plot），以提升模型在工程实践中的可信度与可接受性。具体分析结果将在论文正文中呈现。</w:t>
      </w:r>
    </w:p>
    <w:p w14:paraId="71FC0363">
      <w:pPr>
        <w:spacing w:before="60" w:after="60"/>
      </w:pPr>
    </w:p>
    <w:p w14:paraId="7A0C4060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6  数据集格式说明</w:t>
      </w:r>
    </w:p>
    <w:p w14:paraId="51D80394">
      <w:pPr>
        <w:spacing w:before="60" w:after="60"/>
        <w:ind w:firstLine="4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数据集以CSV格式存储（UTF-8-BOM编码），文件名：wind_farm_risk_dataset.csv。字段说明如表6-1所示。</w:t>
      </w:r>
    </w:p>
    <w:p w14:paraId="44E21A12">
      <w:pPr>
        <w:spacing w:before="60" w:after="60"/>
      </w:pPr>
    </w:p>
    <w:p w14:paraId="7B731962">
      <w:pPr>
        <w:spacing w:before="60" w:after="6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>表 6-1  数据集字段定义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8"/>
        <w:gridCol w:w="725"/>
        <w:gridCol w:w="1415"/>
        <w:gridCol w:w="4252"/>
      </w:tblGrid>
      <w:tr w14:paraId="24009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B3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字段名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F7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44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单位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28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描述</w:t>
            </w:r>
          </w:p>
        </w:tc>
      </w:tr>
      <w:tr w14:paraId="1DFE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3D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风电场群总出力_MW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C2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AC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MW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F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风电场集群实时总出力</w:t>
            </w:r>
          </w:p>
        </w:tc>
      </w:tr>
      <w:tr w14:paraId="78D7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D3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集电线路故障率_次百km年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2E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72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次/百km·年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A7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单位线路长度年故障次数</w:t>
            </w:r>
          </w:p>
        </w:tc>
      </w:tr>
      <w:tr w14:paraId="2F09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7A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箱变渗漏油次数_次月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15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87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次/月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F2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箱式变压器月度渗漏事件次数</w:t>
            </w:r>
          </w:p>
        </w:tc>
      </w:tr>
      <w:tr w14:paraId="2F77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E5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风机基础沉降速率_mm月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EB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26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mm/月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83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风机基础月均垂直沉降速率</w:t>
            </w:r>
          </w:p>
        </w:tc>
      </w:tr>
      <w:tr w14:paraId="0659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E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场区道路承载力_MPa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FF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95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MPa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1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FWD落锤弯沉仪测试路面当量模量</w:t>
            </w:r>
          </w:p>
        </w:tc>
      </w:tr>
      <w:tr w14:paraId="1D7F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32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电缆沟积水深度_mm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9C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C5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mm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99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电缆沟最低点液位深度</w:t>
            </w:r>
          </w:p>
        </w:tc>
      </w:tr>
      <w:tr w14:paraId="5565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C1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集电系统电压不平衡度_%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4D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F0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CD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集电系统三相电压不平衡度</w:t>
            </w:r>
          </w:p>
        </w:tc>
      </w:tr>
      <w:tr w14:paraId="22C5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88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升压站设备温升_℃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35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14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℃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D4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升压站主变等关键设备红外测温温升</w:t>
            </w:r>
          </w:p>
        </w:tc>
      </w:tr>
      <w:tr w14:paraId="21BA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C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防雷接地电阻_Ω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EE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4E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Ω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FF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风机及升压站接地系统工频接地电阻</w:t>
            </w:r>
          </w:p>
        </w:tc>
      </w:tr>
      <w:tr w14:paraId="6555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45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风机可利用率_%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FE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A4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%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B9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月度风机可利用率（SCADA统计）</w:t>
            </w:r>
          </w:p>
        </w:tc>
      </w:tr>
      <w:tr w14:paraId="0947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28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CRI综合风险指数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09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float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84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52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归一化综合风险指数，取值[0,1]</w:t>
            </w:r>
          </w:p>
        </w:tc>
      </w:tr>
      <w:tr w14:paraId="670B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05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风险等级_二分类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20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int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68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16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0=低风险，1=高风险（二分类目标变量）</w:t>
            </w:r>
          </w:p>
        </w:tc>
      </w:tr>
    </w:tbl>
    <w:p w14:paraId="1BCC0179">
      <w:pPr>
        <w:spacing w:before="60" w:after="60"/>
      </w:pPr>
    </w:p>
    <w:p w14:paraId="1E64AC1E"/>
    <w:p w14:paraId="04B8B8D7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296" w:bottom="1440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8D7BA">
    <w:pPr>
      <w:pBdr>
        <w:top w:val="single" w:color="2E75B6" w:sz="4" w:space="0"/>
      </w:pBdr>
      <w:jc w:val="center"/>
    </w:pPr>
    <w:r>
      <w:rPr>
        <w:rFonts w:ascii="Arial" w:hAnsi="Arial" w:eastAsia="Arial" w:cs="Arial"/>
        <w:color w:val="666666"/>
        <w:sz w:val="16"/>
        <w:szCs w:val="16"/>
      </w:rPr>
      <w:t>第 — 实验报告 —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54964">
    <w:pPr>
      <w:pBdr>
        <w:bottom w:val="single" w:color="2E75B6" w:sz="4" w:space="0"/>
      </w:pBdr>
      <w:jc w:val="right"/>
    </w:pPr>
    <w:r>
      <w:rPr>
        <w:rFonts w:ascii="Arial" w:hAnsi="Arial" w:eastAsia="Arial" w:cs="Arial"/>
        <w:color w:val="666666"/>
        <w:sz w:val="16"/>
        <w:szCs w:val="16"/>
      </w:rPr>
      <w:t>基于机器学习与SHAP的风电场群缺负荷与土木基础设施失效耦合风险评估 — 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7A59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00" w:after="15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2453</Words>
  <Characters>3422</Characters>
  <TotalTime>1</TotalTime>
  <ScaleCrop>false</ScaleCrop>
  <LinksUpToDate>false</LinksUpToDate>
  <CharactersWithSpaces>3635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2026-03-28T16:33:00Z</dcterms:created>
  <dc:creator>Un-named</dc:creator>
  <cp:lastModifiedBy>Y2399</cp:lastModifiedBy>
  <dcterms:modified xsi:type="dcterms:W3CDTF">2026-03-28T16:35:54Z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eyJoZGlkIjoiZDBmN2QwOTA0NTRhM2FiMTMwOWVlY2VmNzU2OTNmNjIiLCJ1c2VySWQiOiI1Njg2OTk2NTQifQ==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64C36677BA7C4A579F75647D534B28B9_12</vt:lpwstr>
  </property>
</Properties>
</file>