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" w:lineRule="auto"/>
      </w:pPr>
      <w:r>
        <w:pict>
          <v:shape id="sem_img_1" type="#_x0000_t75" style="position:absolute;margin-left:178.36pt;margin-top:221.56pt;width:276.87pt;height:30.11pt;z-index:3;mso-position-horizontal-relative:page;mso-position-vertical-relative:page" stroked="f" filled="f">
            <v:imagedata r:id="rId11" o:title="region"/>
          </v:shape>
        </w:pict>
      </w:r>
      <w:r>
        <w:pict>
          <v:shape id="sem_img_2" type="#_x0000_t75" style="position:absolute;margin-left:357.71pt;margin-top:320.73pt;width:97.53pt;height:40.91pt;z-index:3;mso-position-horizontal-relative:page;mso-position-vertical-relative:page" stroked="f" filled="f">
            <v:imagedata r:id="rId12" o:title="region"/>
          </v:shape>
        </w:pict>
      </w:r>
      <w:r>
        <w:pict>
          <v:shape id="sem_img_3" type="#_x0000_t75" style="position:absolute;margin-left:179.02pt;margin-top:375.38pt;width:339.38pt;height:36.65pt;z-index:3;mso-position-horizontal-relative:page;mso-position-vertical-relative:page" stroked="f" filled="f">
            <v:imagedata r:id="rId13" o:title="region"/>
          </v:shape>
        </w:pict>
      </w:r>
      <w:r>
        <w:pict>
          <v:shape id="sem_tbx_4" type="#_x0000_t202" style="position:absolute;margin-left:45.16pt;margin-top:46.80pt;width:208.47pt;height:29.0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520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36"/>
                      <w:szCs w:val="36"/>
                    </w:rPr>
                    <w:t xml:space="preserve">Merged-cell table input</w:t>
                  </w:r>
                </w:p>
              </w:txbxContent>
            </v:textbox>
          </v:shape>
        </w:pict>
      </w:r>
      <w:r>
        <w:pict>
          <v:shape id="sem_tbx_5" type="#_x0000_t202" style="position:absolute;margin-left:46.15pt;margin-top:74.29pt;width:248.40pt;height:16.2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Self-created input and ground truth | Not an OCR result</w:t>
                  </w:r>
                </w:p>
              </w:txbxContent>
            </v:textbox>
          </v:shape>
        </w:pict>
      </w:r>
      <w:r>
        <w:pict>
          <v:shape id="sem_tbx_6" type="#_x0000_t202" style="position:absolute;margin-left:46.47pt;margin-top:494.51pt;width:240.22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6 logical rows x 5 columns | rowspan and colspan |</w:t>
                    <w:br/>
                    <w:t xml:space="preserve">CC0 1.0</w:t>
                  </w:r>
                </w:p>
              </w:txbxContent>
            </v:textbox>
          </v:shape>
        </w:pict>
      </w:r>
      <w:r>
        <w:pict>
          <v:shape id="sem_tbx_7" type="#_x0000_t202" style="position:absolute;margin-left:45.49pt;margin-top:511.53pt;width:275.89pt;height:29.5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 CJK JP" w:hAnsi="Noto Serif CJK JP" w:eastAsia="Noto Serif CJK JP" w:cs="Noto Serif CJK JP"/>
                      <w:sz w:val="18"/>
                      <w:szCs w:val="18"/>
                    </w:rPr>
                    <w:t xml:space="preserve">Target: preserve text, merged cells and editable document</w:t>
                    <w:br/>
                    <w:t xml:space="preserve">structure.</w:t>
                  </w:r>
                </w:p>
              </w:txbxContent>
            </v:textbox>
          </v:shape>
        </w:pict>
      </w:r>
    </w:p>
    <w:tbl>
      <w:tblPr>
        <w:tblStyle w:val="TableGrid"/>
        <w:tblpPr w:leftFromText="0" w:rightFromText="0" w:topFromText="0" w:bottomFromText="0" w:vertAnchor="page" w:horzAnchor="page" w:tblpX="936" w:tblpY="3076"/>
        <w:tblW w:type="dxa" w:w="14969"/>
        <w:jc w:val="center"/>
        <w:tblLayout w:type="fixed"/>
        <w:tblLook w:firstColumn="1" w:firstRow="1" w:lastColumn="0" w:lastRow="0" w:noHBand="0" w:noVBand="1" w:val="04A0"/>
      </w:tblPr>
      <w:tblGrid>
        <w:gridCol w:w="2489"/>
        <w:gridCol w:w="3575"/>
        <w:gridCol w:w="1201"/>
        <w:gridCol w:w="1928"/>
        <w:gridCol w:w="5672"/>
      </w:tblGrid>
      <w:tr>
        <w:trPr>
          <w:trHeight w:val="814" w:hRule="atLeast"/>
        </w:trPr>
        <w:tc>
          <w:tcPr>
            <w:tcW w:type="dxa" w:w="14865"/>
            <w:gridSpan w:val="5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Engineering inspection record</w:t>
            </w:r>
          </w:p>
        </w:tc>
      </w:tr>
      <w:tr>
        <w:trPr>
          <w:trHeight w:val="705" w:hRule="atLeast"/>
        </w:trPr>
        <w:tc>
          <w:tcPr>
            <w:tcW w:type="dxa" w:w="2489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Item</w:t>
            </w:r>
          </w:p>
        </w:tc>
        <w:tc>
          <w:tcPr>
            <w:tcW w:type="dxa" w:w="3575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Specification</w:t>
            </w:r>
          </w:p>
        </w:tc>
        <w:tc>
          <w:tcPr>
            <w:tcW w:type="dxa" w:w="1201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Qty</w:t>
            </w:r>
          </w:p>
        </w:tc>
        <w:tc>
          <w:tcPr>
            <w:tcW w:type="dxa" w:w="1928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Result</w:t>
            </w:r>
          </w:p>
        </w:tc>
        <w:tc>
          <w:tcPr>
            <w:tcW w:type="dxa" w:w="5672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Note</w:t>
            </w:r>
          </w:p>
        </w:tc>
      </w:tr>
      <w:tr>
        <w:trPr>
          <w:trHeight w:val="1087" w:hRule="atLeast"/>
        </w:trPr>
        <w:tc>
          <w:tcPr>
            <w:tcW w:type="dxa" w:w="2489"/>
            <w:vMerge w:val="restart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Valve body</w:t>
            </w:r>
          </w:p>
        </w:tc>
        <w:tc>
          <w:tcPr>
            <w:tcW w:type="dxa" w:w="3575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DN 50</w:t>
            </w:r>
          </w:p>
        </w:tc>
        <w:tc>
          <w:tcPr>
            <w:tcW w:type="dxa" w:w="1201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928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PASS</w:t>
            </w:r>
          </w:p>
        </w:tc>
        <w:tc>
          <w:tcPr>
            <w:tcW w:type="dxa" w:w="5672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∅ 50 ± 0.10 mm</w:t>
            </w:r>
          </w:p>
        </w:tc>
      </w:tr>
      <w:tr>
        <w:trPr>
          <w:trHeight w:val="1079" w:hRule="atLeast"/>
        </w:trPr>
        <w:tc>
          <w:tcPr>
            <w:tcW w:type="dxa" w:w="2489"/>
            <w:vMerge/>
            <w:tcMar>
              <w:top w:w="20" w:type="dxa"/>
              <w:bottom w:w="20" w:type="dxa"/>
              <w:start w:w="35" w:type="dxa"/>
              <w:end w:w="35" w:type="dxa"/>
            </w:tcMar>
          </w:tcPr>
          <w:p/>
        </w:tc>
        <w:tc>
          <w:tcPr>
            <w:tcW w:type="dxa" w:w="3575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DN 80</w:t>
            </w:r>
          </w:p>
        </w:tc>
        <w:tc>
          <w:tcPr>
            <w:tcW w:type="dxa" w:w="1201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928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REVIEW</w:t>
            </w:r>
          </w:p>
        </w:tc>
        <w:tc>
          <w:tcPr>
            <w:tcW w:type="dxa" w:w="5672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Angle 90° ± 0.5°</w:t>
            </w:r>
          </w:p>
        </w:tc>
      </w:tr>
      <w:tr>
        <w:trPr>
          <w:trHeight w:val="1090" w:hRule="atLeast"/>
        </w:trPr>
        <w:tc>
          <w:tcPr>
            <w:tcW w:type="dxa" w:w="2489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Pump</w:t>
            </w:r>
          </w:p>
        </w:tc>
        <w:tc>
          <w:tcPr>
            <w:tcW w:type="dxa" w:w="4776"/>
            <w:gridSpan w:val="2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Model P001 / 1 unit</w:t>
            </w:r>
          </w:p>
        </w:tc>
        <w:tc>
          <w:tcPr>
            <w:tcW w:type="dxa" w:w="1928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PASS</w:t>
            </w:r>
          </w:p>
        </w:tc>
        <w:tc>
          <w:tcPr>
            <w:tcW w:type="dxa" w:w="5672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Bore ∅ 12 mm</w:t>
            </w:r>
          </w:p>
        </w:tc>
      </w:tr>
      <w:tr>
        <w:trPr>
          <w:trHeight w:val="823" w:hRule="atLeast"/>
        </w:trPr>
        <w:tc>
          <w:tcPr>
            <w:tcW w:type="dxa" w:w="7265"/>
            <w:gridSpan w:val="3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Summary: 4 inspected units</w:t>
            </w:r>
          </w:p>
        </w:tc>
        <w:tc>
          <w:tcPr>
            <w:tcW w:type="dxa" w:w="7600"/>
            <w:gridSpan w:val="2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3 PASS / 1 REVIEW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41" w:h="11906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