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 id="sem_tbx_1" type="#_x0000_t202" style="position:absolute;margin-left:44.84pt;margin-top:45.82pt;width:212.07pt;height:28.1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465" w:lineRule="atLeast"/>
                    <w:jc w:val="center"/>
                  </w:pPr>
                  <w:r>
                    <w:rPr>
                      <w:rFonts w:ascii="Noto Serif CJK JP" w:hAnsi="Noto Serif CJK JP" w:eastAsia="Noto Serif CJK JP" w:cs="Noto Serif CJK JP"/>
                      <w:sz w:val="32"/>
                      <w:szCs w:val="32"/>
                      <w:b/>
                    </w:rPr>
                    <w:t xml:space="preserve">Merged-cell table input</w:t>
                  </w:r>
                </w:p>
              </w:txbxContent>
            </v:textbox>
          </v:shape>
        </w:pict>
      </w:r>
      <w:r>
        <w:pict>
          <v:shape id="sem_tbx_2" type="#_x0000_t202" style="position:absolute;margin-left:44.18pt;margin-top:74.62pt;width:252.00pt;height:20.9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Self-created input and ground truth Not an OCR result</w:t>
                  </w:r>
                </w:p>
              </w:txbxContent>
            </v:textbox>
          </v:shape>
        </w:pict>
      </w:r>
      <w:r>
        <w:pict>
          <v:shape id="sem_tbx_3" type="#_x0000_t202" style="position:absolute;margin-left:45.49pt;margin-top:494.51pt;width:244.15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6 logical rows x 5 columns rowspan and colspan CCO</w:t>
                    <w:br/>
                    <w:t xml:space="preserve">1.0</w:t>
                  </w:r>
                </w:p>
              </w:txbxContent>
            </v:textbox>
          </v:shape>
        </w:pict>
      </w:r>
      <w:r>
        <w:pict>
          <v:shape id="sem_tbx_4" type="#_x0000_t202" style="position:absolute;margin-left:43.53pt;margin-top:510.55pt;width:278.8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Target: preserve text, merged cells and editable document</w:t>
                    <w:br/>
                    <w:t xml:space="preserve">structure.</w:t>
                  </w:r>
                </w:p>
              </w:txbxContent>
            </v:textbox>
          </v:shape>
        </w:pict>
      </w:r>
    </w:p>
    <w:tbl>
      <w:tblPr>
        <w:tblStyle w:val="TableGrid"/>
        <w:tblpPr w:leftFromText="0" w:rightFromText="0" w:topFromText="0" w:bottomFromText="0" w:vertAnchor="page" w:horzAnchor="page" w:tblpX="936" w:tblpY="3076"/>
        <w:tblW w:type="dxa" w:w="14969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580"/>
        <w:gridCol w:w="1198"/>
        <w:gridCol w:w="1924"/>
        <w:gridCol w:w="5701"/>
      </w:tblGrid>
      <w:tr>
        <w:trPr>
          <w:trHeight w:val="838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Engineering inspection record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</w:tr>
      <w:tr>
        <w:trPr>
          <w:trHeight w:val="720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Item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Specification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Qty</w:t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Result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Note</w:t>
            </w:r>
          </w:p>
        </w:tc>
      </w:tr>
      <w:tr>
        <w:trPr>
          <w:trHeight w:val="1100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50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0 50  0.10 mm</w:t>
            </w:r>
          </w:p>
        </w:tc>
      </w:tr>
      <w:tr>
        <w:trPr>
          <w:trHeight w:val="1106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Valve body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80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REVIEW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Angle 90 0.5o</w:t>
            </w:r>
          </w:p>
        </w:tc>
      </w:tr>
      <w:tr>
        <w:trPr>
          <w:trHeight w:val="1093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Pump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Model P001 11 unit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Bore 0 12 mm</w:t>
            </w:r>
          </w:p>
        </w:tc>
      </w:tr>
      <w:tr>
        <w:trPr>
          <w:trHeight w:val="844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Summary: 4 inspected units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3 PASS/1 REVIEW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41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